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8016" w14:textId="2238F251" w:rsidR="00A362CD" w:rsidRDefault="006B2425" w:rsidP="00A90321">
      <w:pPr>
        <w:pStyle w:val="Heading2"/>
        <w:rPr>
          <w:b w:val="0"/>
          <w:lang w:val="en-US"/>
        </w:rPr>
      </w:pPr>
      <w:r>
        <w:rPr>
          <w:b w:val="0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3E33A1" wp14:editId="413573AF">
                <wp:simplePos x="0" y="0"/>
                <wp:positionH relativeFrom="margin">
                  <wp:posOffset>-107315</wp:posOffset>
                </wp:positionH>
                <wp:positionV relativeFrom="paragraph">
                  <wp:posOffset>447675</wp:posOffset>
                </wp:positionV>
                <wp:extent cx="5651500" cy="1513840"/>
                <wp:effectExtent l="0" t="0" r="25400" b="10160"/>
                <wp:wrapNone/>
                <wp:docPr id="18175068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1513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99A85" w14:textId="3DE8EB1C" w:rsidR="00313EC2" w:rsidRPr="00606A02" w:rsidRDefault="00313EC2" w:rsidP="00AE1D05">
                            <w:pPr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</w:pPr>
                            <w:r w:rsidRPr="00606A02"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Summary</w:t>
                            </w:r>
                            <w:r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: External grants must contribute to both direct project and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university</w:t>
                            </w:r>
                            <w:r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costs</w:t>
                            </w:r>
                            <w:r w:rsidR="00E13302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. Proposals must include a </w:t>
                            </w:r>
                            <w:r w:rsidR="00E13302" w:rsidRPr="00606A02"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minimum of 33% coverage</w:t>
                            </w:r>
                            <w:r w:rsidR="00E13302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to cover AGRO’s 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contributions to the university and faculty</w:t>
                            </w:r>
                            <w:r w:rsidR="00AE1D05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. 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However, a larger coverage should be aimed for.</w:t>
                            </w:r>
                          </w:p>
                          <w:p w14:paraId="0EC9CD9A" w14:textId="3ADBB02D" w:rsidR="009175CE" w:rsidRPr="00606A02" w:rsidRDefault="00907D16" w:rsidP="009175CE">
                            <w:pPr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“</w:t>
                            </w:r>
                            <w:r w:rsidR="009175CE" w:rsidRPr="00AE742F">
                              <w:rPr>
                                <w:b/>
                                <w:i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Project Overhead and Cost Coverage</w:t>
                            </w:r>
                            <w:r>
                              <w:rPr>
                                <w:b/>
                                <w:i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”</w:t>
                            </w:r>
                            <w:r w:rsidR="009175CE" w:rsidRPr="00606A02"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in the TECH budget template </w:t>
                            </w:r>
                            <w:r w:rsidR="009175CE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refers to the extent to which external project funding pays for the full costs of conducting a research project at AGRO, including both direct expenses and indirect 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university and </w:t>
                            </w:r>
                            <w:r w:rsidR="001A2F78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department</w:t>
                            </w:r>
                            <w:r w:rsidR="009175CE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costs.</w:t>
                            </w:r>
                          </w:p>
                          <w:p w14:paraId="58F01E5D" w14:textId="77777777" w:rsidR="009175CE" w:rsidRPr="00606A02" w:rsidRDefault="009175CE" w:rsidP="00AE1D05">
                            <w:pPr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E33A1" id="Rectangle: Rounded Corners 2" o:spid="_x0000_s1026" style="position:absolute;margin-left:-8.45pt;margin-top:35.25pt;width:445pt;height:119.2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" fillcolor="#4472c4 [3204]" strokecolor="#09101d [484]" strokeweight="1pt">
                <v:stroke joinstyle="miter"/>
                <v:textbox>
                  <w:txbxContent>
                    <w:p w14:paraId="6BF99A85" w14:textId="3DE8EB1C" w:rsidR="00313EC2" w:rsidRPr="00606A02" w:rsidRDefault="00313EC2" w:rsidP="00AE1D05">
                      <w:pPr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</w:pPr>
                      <w:r w:rsidRPr="00606A02"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Summary</w:t>
                      </w:r>
                      <w:r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: External grants must contribute to both direct project and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university</w:t>
                      </w:r>
                      <w:r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costs</w:t>
                      </w:r>
                      <w:r w:rsidR="00E13302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. Proposals must include a </w:t>
                      </w:r>
                      <w:r w:rsidR="00E13302" w:rsidRPr="00606A02"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minimum of 33% coverage</w:t>
                      </w:r>
                      <w:r w:rsidR="00E13302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to cover AGRO’s 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contributions to the university and faculty</w:t>
                      </w:r>
                      <w:r w:rsidR="00AE1D05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. 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However, a larger coverage should be aimed for.</w:t>
                      </w:r>
                    </w:p>
                    <w:p w14:paraId="0EC9CD9A" w14:textId="3ADBB02D" w:rsidR="009175CE" w:rsidRPr="00606A02" w:rsidRDefault="00907D16" w:rsidP="009175CE">
                      <w:pPr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</w:pPr>
                      <w:r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“</w:t>
                      </w:r>
                      <w:r w:rsidR="009175CE" w:rsidRPr="00AE742F">
                        <w:rPr>
                          <w:b/>
                          <w:i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Project Overhead and Cost Coverage</w:t>
                      </w:r>
                      <w:r>
                        <w:rPr>
                          <w:b/>
                          <w:i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”</w:t>
                      </w:r>
                      <w:r w:rsidR="009175CE" w:rsidRPr="00606A02"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in the TECH budget template </w:t>
                      </w:r>
                      <w:r w:rsidR="009175CE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refers to the extent to which external project funding pays for the full costs of conducting a research project at AGRO, including both direct expenses and indirect 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university and </w:t>
                      </w:r>
                      <w:r w:rsidR="001A2F78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department</w:t>
                      </w:r>
                      <w:r w:rsidR="009175CE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costs.</w:t>
                      </w:r>
                    </w:p>
                    <w:p w14:paraId="58F01E5D" w14:textId="77777777" w:rsidR="009175CE" w:rsidRPr="00606A02" w:rsidRDefault="009175CE" w:rsidP="00AE1D05">
                      <w:pPr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51EE8">
        <w:rPr>
          <w:b w:val="0"/>
          <w:lang w:val="en-US"/>
        </w:rPr>
        <w:t>Required coverage in research funding applications at AGRO</w:t>
      </w:r>
    </w:p>
    <w:p w14:paraId="781463D7" w14:textId="7BC3D114" w:rsidR="00A90321" w:rsidRDefault="00CF02E5" w:rsidP="006A00E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4278AE6E" w14:textId="77777777" w:rsidR="00791D79" w:rsidRDefault="00791D79" w:rsidP="006A00E1">
      <w:pPr>
        <w:rPr>
          <w:b/>
          <w:bCs/>
          <w:lang w:val="en-US"/>
        </w:rPr>
      </w:pPr>
    </w:p>
    <w:p w14:paraId="7BFD5292" w14:textId="77777777" w:rsidR="00E13302" w:rsidRDefault="00E13302" w:rsidP="00092B72">
      <w:pPr>
        <w:rPr>
          <w:lang w:val="en-US"/>
        </w:rPr>
      </w:pPr>
    </w:p>
    <w:p w14:paraId="2E867EA7" w14:textId="77777777" w:rsidR="00E13302" w:rsidRDefault="00E13302" w:rsidP="00092B72">
      <w:pPr>
        <w:rPr>
          <w:lang w:val="en-US"/>
        </w:rPr>
      </w:pPr>
    </w:p>
    <w:p w14:paraId="4969369D" w14:textId="77777777" w:rsidR="006C36BD" w:rsidRDefault="006C36BD" w:rsidP="49B1494D">
      <w:pPr>
        <w:rPr>
          <w:lang w:val="en-US"/>
        </w:rPr>
      </w:pPr>
    </w:p>
    <w:p w14:paraId="214DEBC7" w14:textId="77777777" w:rsidR="000938BF" w:rsidRDefault="000938BF" w:rsidP="00630B02">
      <w:pPr>
        <w:rPr>
          <w:lang w:val="en-US"/>
        </w:rPr>
      </w:pPr>
    </w:p>
    <w:p w14:paraId="5DBC4C2C" w14:textId="2BCE5380" w:rsidR="00CD7A41" w:rsidRDefault="00120755" w:rsidP="00630B02">
      <w:pPr>
        <w:rPr>
          <w:lang w:val="en-US"/>
        </w:rPr>
      </w:pPr>
      <w:r>
        <w:rPr>
          <w:lang w:val="en-US"/>
        </w:rPr>
        <w:t>T</w:t>
      </w:r>
      <w:r w:rsidR="00D23B6D">
        <w:rPr>
          <w:lang w:val="en-US"/>
        </w:rPr>
        <w:t xml:space="preserve">o determine whether the funding scheme you wish to apply for </w:t>
      </w:r>
      <w:r w:rsidR="009D7BE1">
        <w:rPr>
          <w:lang w:val="en-US"/>
        </w:rPr>
        <w:t xml:space="preserve">allows for this 33% coverage, you need to </w:t>
      </w:r>
      <w:r w:rsidR="007F6AF3">
        <w:rPr>
          <w:lang w:val="en-US"/>
        </w:rPr>
        <w:t>download</w:t>
      </w:r>
      <w:r w:rsidR="009D7BE1">
        <w:rPr>
          <w:lang w:val="en-US"/>
        </w:rPr>
        <w:t xml:space="preserve"> the </w:t>
      </w:r>
      <w:hyperlink r:id="rId11" w:history="1">
        <w:r w:rsidR="009D7BE1" w:rsidRPr="009610A7">
          <w:rPr>
            <w:rStyle w:val="Hyperlink"/>
            <w:lang w:val="en-US"/>
          </w:rPr>
          <w:t>TECH BUDGET TEMPLATE</w:t>
        </w:r>
      </w:hyperlink>
      <w:r w:rsidR="00D72E55" w:rsidRPr="007F6AF3">
        <w:rPr>
          <w:lang w:val="en-US"/>
        </w:rPr>
        <w:t xml:space="preserve"> </w:t>
      </w:r>
      <w:r w:rsidR="00D72E55">
        <w:rPr>
          <w:lang w:val="en-US"/>
        </w:rPr>
        <w:t>(</w:t>
      </w:r>
      <w:r w:rsidR="00051AC2">
        <w:rPr>
          <w:lang w:val="en-US"/>
        </w:rPr>
        <w:t xml:space="preserve">for EU projects, request the correct budget template at </w:t>
      </w:r>
      <w:hyperlink r:id="rId12" w:history="1">
        <w:r w:rsidR="007F6AF3" w:rsidRPr="001A06B7">
          <w:rPr>
            <w:rStyle w:val="Hyperlink"/>
            <w:lang w:val="en-US"/>
          </w:rPr>
          <w:t>HEUcollab.FSE@au.dk</w:t>
        </w:r>
      </w:hyperlink>
      <w:r w:rsidR="00051AC2">
        <w:rPr>
          <w:lang w:val="en-US"/>
        </w:rPr>
        <w:t>)</w:t>
      </w:r>
      <w:r w:rsidR="008B6FCC">
        <w:rPr>
          <w:lang w:val="en-US"/>
        </w:rPr>
        <w:t xml:space="preserve">. </w:t>
      </w:r>
      <w:r w:rsidR="003F3A5E">
        <w:rPr>
          <w:lang w:val="en-US"/>
        </w:rPr>
        <w:t xml:space="preserve">By filling out fields such as </w:t>
      </w:r>
      <w:r w:rsidR="00594CB1">
        <w:rPr>
          <w:lang w:val="en-US"/>
        </w:rPr>
        <w:t>“</w:t>
      </w:r>
      <w:r w:rsidR="00D70774">
        <w:rPr>
          <w:lang w:val="en-US"/>
        </w:rPr>
        <w:t>Grant source” and inserting Person Months</w:t>
      </w:r>
      <w:r w:rsidR="003C6A54">
        <w:rPr>
          <w:lang w:val="en-US"/>
        </w:rPr>
        <w:t xml:space="preserve">, the </w:t>
      </w:r>
      <w:r w:rsidR="00776ED5">
        <w:rPr>
          <w:lang w:val="en-US"/>
        </w:rPr>
        <w:t>TECH budget</w:t>
      </w:r>
      <w:r w:rsidR="003C6A54">
        <w:rPr>
          <w:lang w:val="en-US"/>
        </w:rPr>
        <w:t xml:space="preserve"> template will automatically start to calculate Project Overhead and Cost</w:t>
      </w:r>
      <w:r w:rsidR="0075586D">
        <w:rPr>
          <w:lang w:val="en-US"/>
        </w:rPr>
        <w:t xml:space="preserve"> Coverage. </w:t>
      </w:r>
    </w:p>
    <w:p w14:paraId="56E52644" w14:textId="2D8DD60E" w:rsidR="00A44131" w:rsidRDefault="00756693" w:rsidP="007F49F4">
      <w:pPr>
        <w:rPr>
          <w:lang w:val="en-US"/>
        </w:rPr>
      </w:pPr>
      <w:r>
        <w:rPr>
          <w:lang w:val="en-US"/>
        </w:rPr>
        <w:t>To achiev</w:t>
      </w:r>
      <w:r w:rsidR="00D97E71">
        <w:rPr>
          <w:lang w:val="en-US"/>
        </w:rPr>
        <w:t>e</w:t>
      </w:r>
      <w:r>
        <w:rPr>
          <w:lang w:val="en-US"/>
        </w:rPr>
        <w:t xml:space="preserve"> th</w:t>
      </w:r>
      <w:r w:rsidR="00D97E71">
        <w:rPr>
          <w:lang w:val="en-US"/>
        </w:rPr>
        <w:t>e</w:t>
      </w:r>
      <w:r>
        <w:rPr>
          <w:lang w:val="en-US"/>
        </w:rPr>
        <w:t xml:space="preserve"> minimum rate of 33%, </w:t>
      </w:r>
      <w:r w:rsidR="00C42D59">
        <w:rPr>
          <w:lang w:val="en-US"/>
        </w:rPr>
        <w:t>either</w:t>
      </w:r>
      <w:r w:rsidR="00D97E71">
        <w:rPr>
          <w:lang w:val="en-US"/>
        </w:rPr>
        <w:t xml:space="preserve"> </w:t>
      </w:r>
      <w:r w:rsidR="00C94832">
        <w:rPr>
          <w:lang w:val="en-US"/>
        </w:rPr>
        <w:t xml:space="preserve">overheads, bench fees </w:t>
      </w:r>
      <w:r w:rsidR="00C42D59">
        <w:rPr>
          <w:lang w:val="en-US"/>
        </w:rPr>
        <w:t xml:space="preserve">or </w:t>
      </w:r>
      <w:r w:rsidR="00C94832">
        <w:rPr>
          <w:lang w:val="en-US"/>
        </w:rPr>
        <w:t>project supplement</w:t>
      </w:r>
      <w:r w:rsidR="004A31B8">
        <w:rPr>
          <w:lang w:val="en-US"/>
        </w:rPr>
        <w:t xml:space="preserve"> </w:t>
      </w:r>
      <w:r w:rsidR="00C42D59">
        <w:rPr>
          <w:lang w:val="en-US"/>
        </w:rPr>
        <w:t>must</w:t>
      </w:r>
      <w:r w:rsidR="004A31B8">
        <w:rPr>
          <w:lang w:val="en-US"/>
        </w:rPr>
        <w:t xml:space="preserve"> be included</w:t>
      </w:r>
      <w:r w:rsidR="00C94832">
        <w:rPr>
          <w:lang w:val="en-US"/>
        </w:rPr>
        <w:t xml:space="preserve"> </w:t>
      </w:r>
      <w:r w:rsidR="00296613">
        <w:rPr>
          <w:lang w:val="en-US"/>
        </w:rPr>
        <w:t>as a starting point</w:t>
      </w:r>
      <w:r w:rsidR="007E2C38">
        <w:rPr>
          <w:lang w:val="en-US"/>
        </w:rPr>
        <w:t>.</w:t>
      </w:r>
      <w:r w:rsidR="00C83BC8">
        <w:rPr>
          <w:lang w:val="en-US"/>
        </w:rPr>
        <w:t xml:space="preserve"> </w:t>
      </w:r>
      <w:r w:rsidR="00DB6F88">
        <w:rPr>
          <w:lang w:val="en-US"/>
        </w:rPr>
        <w:t>If the minimum rate of 33% has not been reached,</w:t>
      </w:r>
      <w:r w:rsidR="00C83BC8">
        <w:rPr>
          <w:lang w:val="en-US"/>
        </w:rPr>
        <w:t xml:space="preserve"> </w:t>
      </w:r>
      <w:r w:rsidR="00E442D7">
        <w:rPr>
          <w:lang w:val="en-US"/>
        </w:rPr>
        <w:t>other bu</w:t>
      </w:r>
      <w:r w:rsidR="00240DC7">
        <w:rPr>
          <w:lang w:val="en-US"/>
        </w:rPr>
        <w:t xml:space="preserve">dget items can be </w:t>
      </w:r>
      <w:r w:rsidR="006318F1">
        <w:rPr>
          <w:lang w:val="en-US"/>
        </w:rPr>
        <w:t>implemented</w:t>
      </w:r>
      <w:r w:rsidR="00A44131">
        <w:rPr>
          <w:lang w:val="en-US"/>
        </w:rPr>
        <w:t>, see suggestions below</w:t>
      </w:r>
      <w:r w:rsidR="000C32DF">
        <w:rPr>
          <w:lang w:val="en-US"/>
        </w:rPr>
        <w:t xml:space="preserve">. </w:t>
      </w:r>
    </w:p>
    <w:p w14:paraId="57A73B7F" w14:textId="77777777" w:rsidR="00544C26" w:rsidRPr="00544C26" w:rsidRDefault="00544C26" w:rsidP="00D43496">
      <w:pPr>
        <w:rPr>
          <w:b/>
          <w:bCs/>
          <w:sz w:val="24"/>
          <w:szCs w:val="24"/>
          <w:lang w:val="en-GB"/>
        </w:rPr>
      </w:pPr>
      <w:r w:rsidRPr="00544C26">
        <w:rPr>
          <w:b/>
          <w:bCs/>
          <w:sz w:val="24"/>
          <w:szCs w:val="24"/>
          <w:lang w:val="en-GB"/>
        </w:rPr>
        <w:t>Strategies to increase coverage</w:t>
      </w:r>
    </w:p>
    <w:p w14:paraId="4C93F020" w14:textId="51CD9A59" w:rsidR="00D43496" w:rsidRPr="007F7C6A" w:rsidRDefault="00D43496" w:rsidP="00D43496">
      <w:pPr>
        <w:rPr>
          <w:b/>
          <w:bCs/>
          <w:lang w:val="en-GB"/>
        </w:rPr>
      </w:pPr>
      <w:r w:rsidRPr="6720FE8A">
        <w:rPr>
          <w:b/>
          <w:bCs/>
          <w:lang w:val="en-GB"/>
        </w:rPr>
        <w:t>Project costs that can be used for coverage (in green in the table) – in order of priority</w:t>
      </w:r>
    </w:p>
    <w:p w14:paraId="626FEC64" w14:textId="77777777" w:rsidR="00D43496" w:rsidRPr="007F7C6A" w:rsidRDefault="00D43496" w:rsidP="00D43496">
      <w:pPr>
        <w:numPr>
          <w:ilvl w:val="0"/>
          <w:numId w:val="17"/>
        </w:numPr>
        <w:spacing w:after="60"/>
        <w:ind w:left="714" w:hanging="357"/>
        <w:rPr>
          <w:lang w:val="en-US"/>
        </w:rPr>
      </w:pPr>
      <w:r w:rsidRPr="6720FE8A">
        <w:rPr>
          <w:lang w:val="en-US"/>
        </w:rPr>
        <w:t>Depreciation of existing research equipment and infrastructure</w:t>
      </w:r>
    </w:p>
    <w:p w14:paraId="7ACCA053" w14:textId="73742DA7" w:rsidR="00D43496" w:rsidRPr="007F7C6A" w:rsidRDefault="00D43496" w:rsidP="00D43496">
      <w:pPr>
        <w:numPr>
          <w:ilvl w:val="0"/>
          <w:numId w:val="17"/>
        </w:numPr>
        <w:spacing w:after="60"/>
        <w:ind w:left="714" w:hanging="357"/>
        <w:rPr>
          <w:lang w:val="en-US"/>
        </w:rPr>
      </w:pPr>
      <w:r w:rsidRPr="6720FE8A">
        <w:rPr>
          <w:lang w:val="en-US"/>
        </w:rPr>
        <w:t xml:space="preserve">Contributions to </w:t>
      </w:r>
      <w:r w:rsidR="003F73D3" w:rsidRPr="6720FE8A">
        <w:rPr>
          <w:lang w:val="en-US"/>
        </w:rPr>
        <w:t>department</w:t>
      </w:r>
      <w:r w:rsidR="003F73D3">
        <w:rPr>
          <w:lang w:val="en-US"/>
        </w:rPr>
        <w:t>-</w:t>
      </w:r>
      <w:r w:rsidRPr="6720FE8A">
        <w:rPr>
          <w:lang w:val="en-US"/>
        </w:rPr>
        <w:t>funded infrastructures, e.g. long-term experiments</w:t>
      </w:r>
      <w:r w:rsidR="003E02C0">
        <w:rPr>
          <w:lang w:val="en-US"/>
        </w:rPr>
        <w:t xml:space="preserve"> (LTE’s)</w:t>
      </w:r>
    </w:p>
    <w:p w14:paraId="172F94DA" w14:textId="2EF73576" w:rsidR="00D43496" w:rsidRPr="007F7C6A" w:rsidRDefault="00D43496" w:rsidP="00D43496">
      <w:pPr>
        <w:numPr>
          <w:ilvl w:val="0"/>
          <w:numId w:val="17"/>
        </w:numPr>
        <w:spacing w:after="60"/>
        <w:ind w:left="714" w:hanging="357"/>
        <w:rPr>
          <w:lang w:val="en-US"/>
        </w:rPr>
      </w:pPr>
      <w:r w:rsidRPr="6720FE8A">
        <w:rPr>
          <w:lang w:val="en-US"/>
        </w:rPr>
        <w:t>Salary for administrative support</w:t>
      </w:r>
      <w:r w:rsidR="00C94832">
        <w:rPr>
          <w:lang w:val="en-US"/>
        </w:rPr>
        <w:t xml:space="preserve"> staff</w:t>
      </w:r>
      <w:r w:rsidR="008142A1">
        <w:rPr>
          <w:lang w:val="en-US"/>
        </w:rPr>
        <w:t xml:space="preserve"> (</w:t>
      </w:r>
      <w:r w:rsidR="00863430">
        <w:rPr>
          <w:lang w:val="en-US"/>
        </w:rPr>
        <w:t xml:space="preserve">e.g. data </w:t>
      </w:r>
      <w:r w:rsidR="005152A7">
        <w:rPr>
          <w:lang w:val="en-US"/>
        </w:rPr>
        <w:t xml:space="preserve">manager, communication officer, </w:t>
      </w:r>
      <w:r w:rsidR="00914081">
        <w:rPr>
          <w:lang w:val="en-US"/>
        </w:rPr>
        <w:t>administrative project manager</w:t>
      </w:r>
      <w:r w:rsidR="00515E91">
        <w:rPr>
          <w:lang w:val="en-US"/>
        </w:rPr>
        <w:t>)</w:t>
      </w:r>
    </w:p>
    <w:p w14:paraId="31CEA5A5" w14:textId="70B23CB7" w:rsidR="006C3EF0" w:rsidRDefault="00D43496" w:rsidP="006C3EF0">
      <w:pPr>
        <w:numPr>
          <w:ilvl w:val="0"/>
          <w:numId w:val="17"/>
        </w:numPr>
        <w:spacing w:after="60"/>
        <w:ind w:left="714" w:hanging="357"/>
        <w:rPr>
          <w:lang w:val="en-US"/>
        </w:rPr>
      </w:pPr>
      <w:r w:rsidRPr="6720FE8A">
        <w:rPr>
          <w:lang w:val="en-US"/>
        </w:rPr>
        <w:t>Permanent academic staff time (senior VIP) – should only be considered as a last resort</w:t>
      </w:r>
      <w:r w:rsidR="00C94832">
        <w:rPr>
          <w:lang w:val="en-US"/>
        </w:rPr>
        <w:t xml:space="preserve"> and must be approved by the head of department</w:t>
      </w:r>
    </w:p>
    <w:p w14:paraId="003F65B9" w14:textId="77777777" w:rsidR="00B54DED" w:rsidRDefault="00B54DED" w:rsidP="00B54DED">
      <w:pPr>
        <w:spacing w:after="60"/>
        <w:rPr>
          <w:lang w:val="en-US"/>
        </w:rPr>
      </w:pPr>
    </w:p>
    <w:p w14:paraId="3527D605" w14:textId="7A43D791" w:rsidR="00EA53CC" w:rsidRDefault="006C3EF0" w:rsidP="00B54DED">
      <w:pPr>
        <w:spacing w:after="60"/>
        <w:rPr>
          <w:lang w:val="en-US"/>
        </w:rPr>
      </w:pPr>
      <w:r w:rsidRPr="006C3EF0">
        <w:rPr>
          <w:lang w:val="en-US"/>
        </w:rPr>
        <w:t xml:space="preserve">You can seek guidance from the project controllers </w:t>
      </w:r>
      <w:r w:rsidR="00AA3FC3">
        <w:rPr>
          <w:lang w:val="en-US"/>
        </w:rPr>
        <w:t>(</w:t>
      </w:r>
      <w:hyperlink r:id="rId13" w:history="1">
        <w:r w:rsidR="00AA3FC3" w:rsidRPr="00837B99">
          <w:rPr>
            <w:rStyle w:val="Hyperlink"/>
            <w:lang w:val="en-US"/>
          </w:rPr>
          <w:t>applications@agro.au.dk</w:t>
        </w:r>
      </w:hyperlink>
      <w:r w:rsidR="00AA3FC3">
        <w:rPr>
          <w:lang w:val="en-US"/>
        </w:rPr>
        <w:t xml:space="preserve">) </w:t>
      </w:r>
      <w:r w:rsidRPr="006C3EF0">
        <w:rPr>
          <w:lang w:val="en-US"/>
        </w:rPr>
        <w:t>and the AGRO fundraisers</w:t>
      </w:r>
      <w:r w:rsidR="00AA3FC3">
        <w:rPr>
          <w:lang w:val="en-US"/>
        </w:rPr>
        <w:t xml:space="preserve"> (</w:t>
      </w:r>
      <w:hyperlink r:id="rId14" w:history="1">
        <w:r w:rsidR="00AA3FC3" w:rsidRPr="00837B99">
          <w:rPr>
            <w:rStyle w:val="Hyperlink"/>
            <w:lang w:val="en-US"/>
          </w:rPr>
          <w:t>funding@agro.au.dk</w:t>
        </w:r>
      </w:hyperlink>
      <w:r w:rsidR="00AA3FC3">
        <w:rPr>
          <w:lang w:val="en-US"/>
        </w:rPr>
        <w:t xml:space="preserve">). </w:t>
      </w:r>
      <w:r w:rsidRPr="00AA3FC3">
        <w:rPr>
          <w:lang w:val="en-US"/>
        </w:rPr>
        <w:t xml:space="preserve"> </w:t>
      </w:r>
    </w:p>
    <w:p w14:paraId="2C07E728" w14:textId="77777777" w:rsidR="00EA53CC" w:rsidRDefault="00EA53CC" w:rsidP="00B54DED">
      <w:pPr>
        <w:spacing w:after="60"/>
        <w:rPr>
          <w:lang w:val="en-US"/>
        </w:rPr>
      </w:pPr>
    </w:p>
    <w:p w14:paraId="3D265A0D" w14:textId="685F5334" w:rsidR="00C94832" w:rsidRPr="007F6AF3" w:rsidRDefault="006C3EF0" w:rsidP="00B54DED">
      <w:pPr>
        <w:spacing w:after="60"/>
        <w:rPr>
          <w:b/>
          <w:lang w:val="en-US"/>
        </w:rPr>
      </w:pPr>
      <w:r w:rsidRPr="007F6AF3">
        <w:rPr>
          <w:b/>
          <w:lang w:val="en-US"/>
        </w:rPr>
        <w:t>If it turns out to be impossible to reach 33% coverage, you will have to consult the Head of Department for approval (</w:t>
      </w:r>
      <w:hyperlink r:id="rId15" w:history="1">
        <w:r w:rsidRPr="007F6AF3">
          <w:rPr>
            <w:rStyle w:val="Hyperlink"/>
            <w:b/>
            <w:lang w:val="en-US"/>
          </w:rPr>
          <w:t>head.agro@au.dk</w:t>
        </w:r>
      </w:hyperlink>
      <w:r w:rsidRPr="007F6AF3">
        <w:rPr>
          <w:b/>
          <w:lang w:val="en-US"/>
        </w:rPr>
        <w:t>) before proceeding.</w:t>
      </w:r>
    </w:p>
    <w:p w14:paraId="6EC25A68" w14:textId="77777777" w:rsidR="00B54DED" w:rsidRDefault="00B54DED" w:rsidP="00B54DED">
      <w:pPr>
        <w:spacing w:after="60"/>
        <w:rPr>
          <w:lang w:val="en-US"/>
        </w:rPr>
      </w:pPr>
    </w:p>
    <w:p w14:paraId="5FC504A0" w14:textId="03AD063F" w:rsidR="00A31F47" w:rsidRDefault="00E84EF2" w:rsidP="007F6AF3">
      <w:pPr>
        <w:spacing w:after="60"/>
        <w:rPr>
          <w:lang w:val="en-US"/>
        </w:rPr>
      </w:pPr>
      <w:r>
        <w:rPr>
          <w:lang w:val="en-US"/>
        </w:rPr>
        <w:t xml:space="preserve">ELIGIBILITY AND COVERAGE COMPARISON </w:t>
      </w:r>
    </w:p>
    <w:p w14:paraId="607125E5" w14:textId="72F3ABCA" w:rsidR="0045584D" w:rsidRDefault="004E7863" w:rsidP="00092B72">
      <w:pPr>
        <w:rPr>
          <w:lang w:val="en-US"/>
        </w:rPr>
      </w:pPr>
      <w:r w:rsidRPr="004E7863">
        <w:rPr>
          <w:lang w:val="en-US"/>
        </w:rPr>
        <w:t>The table</w:t>
      </w:r>
      <w:r w:rsidR="00C278D9">
        <w:rPr>
          <w:lang w:val="en-US"/>
        </w:rPr>
        <w:t xml:space="preserve"> below</w:t>
      </w:r>
      <w:r w:rsidRPr="004E7863">
        <w:rPr>
          <w:lang w:val="en-US"/>
        </w:rPr>
        <w:t xml:space="preserve"> provides an overview of funding eligibility and cost coverage across different funding sources, including national public funders, national private foundations, and EU program</w:t>
      </w:r>
      <w:r w:rsidR="000833AD">
        <w:rPr>
          <w:lang w:val="en-US"/>
        </w:rPr>
        <w:t>s</w:t>
      </w:r>
      <w:r w:rsidRPr="004E7863">
        <w:rPr>
          <w:lang w:val="en-US"/>
        </w:rPr>
        <w:t xml:space="preserve">. It compares how various </w:t>
      </w:r>
      <w:r w:rsidR="00BC0514">
        <w:rPr>
          <w:lang w:val="en-US"/>
        </w:rPr>
        <w:t>budget</w:t>
      </w:r>
      <w:r w:rsidR="00BC0514" w:rsidRPr="004E7863">
        <w:rPr>
          <w:lang w:val="en-US"/>
        </w:rPr>
        <w:t xml:space="preserve"> </w:t>
      </w:r>
      <w:r w:rsidRPr="004E7863">
        <w:rPr>
          <w:lang w:val="en-US"/>
        </w:rPr>
        <w:t>categories</w:t>
      </w:r>
      <w:r w:rsidR="00C278D9">
        <w:rPr>
          <w:lang w:val="en-US"/>
        </w:rPr>
        <w:t xml:space="preserve"> – </w:t>
      </w:r>
      <w:r w:rsidRPr="004E7863">
        <w:rPr>
          <w:lang w:val="en-US"/>
        </w:rPr>
        <w:t>such as personnel, overheads, project supplements, equipment depreciation, and operational expenses</w:t>
      </w:r>
      <w:r w:rsidR="00C278D9">
        <w:rPr>
          <w:lang w:val="en-US"/>
        </w:rPr>
        <w:t xml:space="preserve"> – </w:t>
      </w:r>
      <w:r w:rsidRPr="004E7863">
        <w:rPr>
          <w:lang w:val="en-US"/>
        </w:rPr>
        <w:t>are treated under each funding type, highlighting key differences in funding models and eligibility rules.</w:t>
      </w:r>
      <w:r w:rsidR="00C278D9">
        <w:rPr>
          <w:lang w:val="en-US"/>
        </w:rPr>
        <w:t xml:space="preserve"> </w:t>
      </w:r>
    </w:p>
    <w:p w14:paraId="4E75C83E" w14:textId="5548AF12" w:rsidR="004E7863" w:rsidRDefault="00C278D9" w:rsidP="00092B72">
      <w:pPr>
        <w:rPr>
          <w:b/>
          <w:i/>
          <w:lang w:val="en-US"/>
        </w:rPr>
      </w:pPr>
      <w:r w:rsidRPr="007F6AF3">
        <w:rPr>
          <w:b/>
          <w:lang w:val="en-US"/>
        </w:rPr>
        <w:t>Please keep in mind that there may be differences between calls under the same funder,</w:t>
      </w:r>
      <w:r w:rsidRPr="007F6AF3">
        <w:rPr>
          <w:b/>
          <w:i/>
          <w:lang w:val="en-US"/>
        </w:rPr>
        <w:t xml:space="preserve"> so always read the call guidelines.</w:t>
      </w:r>
    </w:p>
    <w:p w14:paraId="7364125E" w14:textId="77777777" w:rsidR="0045584D" w:rsidRPr="007F6AF3" w:rsidRDefault="0045584D" w:rsidP="00092B72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7127" w14:paraId="63A3AD12" w14:textId="77777777" w:rsidTr="70392D09">
        <w:tc>
          <w:tcPr>
            <w:tcW w:w="2254" w:type="dxa"/>
          </w:tcPr>
          <w:p w14:paraId="5E172ADF" w14:textId="6E5E21A6" w:rsidR="00501CA9" w:rsidRDefault="00552A79" w:rsidP="00092B7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273F5">
              <w:rPr>
                <w:b/>
                <w:bCs/>
                <w:sz w:val="24"/>
                <w:szCs w:val="24"/>
                <w:lang w:val="en-US"/>
              </w:rPr>
              <w:t>Funding Source</w:t>
            </w:r>
            <w:r w:rsidR="003F73D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F73D3">
              <w:rPr>
                <w:rFonts w:cstheme="minorHAnsi"/>
                <w:b/>
                <w:bCs/>
                <w:sz w:val="24"/>
                <w:szCs w:val="24"/>
                <w:lang w:val="en-US"/>
              </w:rPr>
              <w:t>→</w:t>
            </w:r>
          </w:p>
          <w:p w14:paraId="5FC23546" w14:textId="77777777" w:rsidR="003F73D3" w:rsidRDefault="003F73D3" w:rsidP="00092B7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18AC172" w14:textId="77777777" w:rsidR="003F73D3" w:rsidRDefault="003F73D3" w:rsidP="00092B7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4579F1A" w14:textId="02C96E41" w:rsidR="003F73D3" w:rsidRPr="00A273F5" w:rsidRDefault="003F73D3" w:rsidP="00092B7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Funding category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↓</w:t>
            </w:r>
          </w:p>
        </w:tc>
        <w:tc>
          <w:tcPr>
            <w:tcW w:w="2254" w:type="dxa"/>
          </w:tcPr>
          <w:p w14:paraId="407F8189" w14:textId="4E298730" w:rsidR="00501CA9" w:rsidRPr="00A273F5" w:rsidRDefault="00552A79" w:rsidP="00092B7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273F5">
              <w:rPr>
                <w:b/>
                <w:bCs/>
                <w:sz w:val="24"/>
                <w:szCs w:val="24"/>
                <w:lang w:val="en-US"/>
              </w:rPr>
              <w:t xml:space="preserve">National </w:t>
            </w:r>
            <w:r w:rsidR="00114A0E" w:rsidRPr="00A273F5">
              <w:rPr>
                <w:b/>
                <w:bCs/>
                <w:sz w:val="24"/>
                <w:szCs w:val="24"/>
                <w:lang w:val="en-US"/>
              </w:rPr>
              <w:t xml:space="preserve">Public </w:t>
            </w:r>
            <w:r w:rsidRPr="00A273F5">
              <w:rPr>
                <w:b/>
                <w:bCs/>
                <w:sz w:val="24"/>
                <w:szCs w:val="24"/>
                <w:lang w:val="en-US"/>
              </w:rPr>
              <w:t>Funders</w:t>
            </w:r>
            <w:r w:rsidR="005C15B6" w:rsidRPr="00A273F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A2A77" w:rsidRPr="00A273F5">
              <w:rPr>
                <w:b/>
                <w:bCs/>
                <w:sz w:val="24"/>
                <w:szCs w:val="24"/>
                <w:lang w:val="en-US"/>
              </w:rPr>
              <w:t xml:space="preserve">(DFF, </w:t>
            </w:r>
            <w:proofErr w:type="spellStart"/>
            <w:r w:rsidR="008A2A77" w:rsidRPr="00A273F5">
              <w:rPr>
                <w:b/>
                <w:bCs/>
                <w:sz w:val="24"/>
                <w:szCs w:val="24"/>
                <w:lang w:val="en-US"/>
              </w:rPr>
              <w:t>InnovationsFonden</w:t>
            </w:r>
            <w:proofErr w:type="spellEnd"/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7D20CE">
              <w:rPr>
                <w:b/>
                <w:bCs/>
                <w:sz w:val="24"/>
                <w:szCs w:val="24"/>
                <w:lang w:val="en-US"/>
              </w:rPr>
              <w:t>SGAV/LFST</w:t>
            </w:r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A273F5">
              <w:rPr>
                <w:b/>
                <w:bCs/>
                <w:sz w:val="24"/>
                <w:szCs w:val="24"/>
                <w:lang w:val="en-US"/>
              </w:rPr>
              <w:t>L</w:t>
            </w:r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>evy funds</w:t>
            </w:r>
            <w:r w:rsidR="00123D03">
              <w:rPr>
                <w:b/>
                <w:bCs/>
                <w:sz w:val="24"/>
                <w:szCs w:val="24"/>
                <w:lang w:val="en-US"/>
              </w:rPr>
              <w:t>***</w:t>
            </w:r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254" w:type="dxa"/>
          </w:tcPr>
          <w:p w14:paraId="76993D7B" w14:textId="7257D321" w:rsidR="00501CA9" w:rsidRPr="00A273F5" w:rsidRDefault="00114A0E" w:rsidP="00092B72">
            <w:pPr>
              <w:rPr>
                <w:b/>
                <w:bCs/>
                <w:sz w:val="24"/>
                <w:szCs w:val="24"/>
              </w:rPr>
            </w:pPr>
            <w:r w:rsidRPr="00A273F5">
              <w:rPr>
                <w:b/>
                <w:bCs/>
                <w:sz w:val="24"/>
                <w:szCs w:val="24"/>
              </w:rPr>
              <w:t xml:space="preserve">National Private Funders </w:t>
            </w:r>
            <w:r w:rsidR="00C34FD6" w:rsidRPr="00A273F5">
              <w:rPr>
                <w:b/>
                <w:bCs/>
                <w:sz w:val="24"/>
                <w:szCs w:val="24"/>
              </w:rPr>
              <w:t xml:space="preserve">(NNF, Villum, Carlsberg, Velux, Lundbeck </w:t>
            </w:r>
            <w:r w:rsidR="00A273F5">
              <w:rPr>
                <w:b/>
                <w:bCs/>
                <w:sz w:val="24"/>
                <w:szCs w:val="24"/>
              </w:rPr>
              <w:t>and</w:t>
            </w:r>
            <w:r w:rsidR="00C34FD6" w:rsidRPr="00A273F5">
              <w:rPr>
                <w:b/>
                <w:bCs/>
                <w:sz w:val="24"/>
                <w:szCs w:val="24"/>
              </w:rPr>
              <w:t xml:space="preserve"> LEO </w:t>
            </w:r>
            <w:r w:rsidR="00A273F5">
              <w:rPr>
                <w:b/>
                <w:bCs/>
                <w:sz w:val="24"/>
                <w:szCs w:val="24"/>
              </w:rPr>
              <w:t>F</w:t>
            </w:r>
            <w:r w:rsidR="00C34FD6" w:rsidRPr="00A273F5">
              <w:rPr>
                <w:b/>
                <w:bCs/>
                <w:sz w:val="24"/>
                <w:szCs w:val="24"/>
              </w:rPr>
              <w:t>onde</w:t>
            </w:r>
            <w:r w:rsidR="00A273F5">
              <w:rPr>
                <w:b/>
                <w:bCs/>
                <w:sz w:val="24"/>
                <w:szCs w:val="24"/>
              </w:rPr>
              <w:t>t</w:t>
            </w:r>
            <w:r w:rsidR="00C34FD6" w:rsidRPr="00A273F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14:paraId="6FD89A48" w14:textId="0852B3B4" w:rsidR="00501CA9" w:rsidRPr="00A273F5" w:rsidRDefault="00114A0E" w:rsidP="00092B7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273F5">
              <w:rPr>
                <w:b/>
                <w:bCs/>
                <w:sz w:val="24"/>
                <w:szCs w:val="24"/>
                <w:lang w:val="en-US"/>
              </w:rPr>
              <w:t>EU funds</w:t>
            </w:r>
            <w:r w:rsidR="00EE4422" w:rsidRPr="00A273F5">
              <w:rPr>
                <w:b/>
                <w:bCs/>
                <w:sz w:val="24"/>
                <w:szCs w:val="24"/>
                <w:lang w:val="en-US"/>
              </w:rPr>
              <w:t xml:space="preserve"> (HEU)</w:t>
            </w:r>
          </w:p>
        </w:tc>
      </w:tr>
      <w:tr w:rsidR="004B1140" w14:paraId="11F06CA2" w14:textId="77777777" w:rsidTr="70392D09">
        <w:tc>
          <w:tcPr>
            <w:tcW w:w="2254" w:type="dxa"/>
            <w:shd w:val="clear" w:color="auto" w:fill="C5E0B3" w:themeFill="accent6" w:themeFillTint="66"/>
          </w:tcPr>
          <w:p w14:paraId="1933818E" w14:textId="400257AD" w:rsidR="00501CA9" w:rsidRDefault="00B5171D" w:rsidP="00092B72">
            <w:pPr>
              <w:rPr>
                <w:lang w:val="en-US"/>
              </w:rPr>
            </w:pPr>
            <w:r>
              <w:rPr>
                <w:lang w:val="en-US"/>
              </w:rPr>
              <w:t xml:space="preserve">Personnel: permanent staff </w:t>
            </w:r>
          </w:p>
        </w:tc>
        <w:tc>
          <w:tcPr>
            <w:tcW w:w="2254" w:type="dxa"/>
            <w:shd w:val="clear" w:color="auto" w:fill="FFFFFF" w:themeFill="background1"/>
          </w:tcPr>
          <w:p w14:paraId="67FDDB48" w14:textId="73E45A83" w:rsidR="00501CA9" w:rsidRDefault="00243E58" w:rsidP="00092B72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254" w:type="dxa"/>
            <w:shd w:val="clear" w:color="auto" w:fill="FFFFFF" w:themeFill="background1"/>
          </w:tcPr>
          <w:p w14:paraId="10D249ED" w14:textId="083569AB" w:rsidR="00501CA9" w:rsidRDefault="00243E58" w:rsidP="00092B72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E6ACABB" w14:textId="309B0DDF" w:rsidR="00501CA9" w:rsidRDefault="00243E58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787127" w14:paraId="4933B68F" w14:textId="77777777" w:rsidTr="70392D09">
        <w:tc>
          <w:tcPr>
            <w:tcW w:w="2254" w:type="dxa"/>
          </w:tcPr>
          <w:p w14:paraId="76454FE2" w14:textId="7F9ECB48" w:rsidR="00B5171D" w:rsidRDefault="00B5171D" w:rsidP="00092B72">
            <w:pPr>
              <w:rPr>
                <w:lang w:val="en-US"/>
              </w:rPr>
            </w:pPr>
            <w:r>
              <w:rPr>
                <w:lang w:val="en-US"/>
              </w:rPr>
              <w:t xml:space="preserve">Personnel: temporary staff </w:t>
            </w:r>
          </w:p>
        </w:tc>
        <w:tc>
          <w:tcPr>
            <w:tcW w:w="2254" w:type="dxa"/>
          </w:tcPr>
          <w:p w14:paraId="5C169533" w14:textId="5E9F58E1" w:rsidR="00B5171D" w:rsidRDefault="00243E58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75013E">
              <w:rPr>
                <w:lang w:val="en-US"/>
              </w:rPr>
              <w:t>*</w:t>
            </w:r>
          </w:p>
        </w:tc>
        <w:tc>
          <w:tcPr>
            <w:tcW w:w="2254" w:type="dxa"/>
          </w:tcPr>
          <w:p w14:paraId="6966A85B" w14:textId="22219E09" w:rsidR="00B5171D" w:rsidRDefault="00243E58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75013E">
              <w:rPr>
                <w:lang w:val="en-US"/>
              </w:rPr>
              <w:t>*</w:t>
            </w:r>
          </w:p>
        </w:tc>
        <w:tc>
          <w:tcPr>
            <w:tcW w:w="2254" w:type="dxa"/>
          </w:tcPr>
          <w:p w14:paraId="22559B4E" w14:textId="0641B74C" w:rsidR="00B5171D" w:rsidRDefault="00243E58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4B1140" w14:paraId="37C42934" w14:textId="77777777" w:rsidTr="70392D09">
        <w:tc>
          <w:tcPr>
            <w:tcW w:w="2254" w:type="dxa"/>
            <w:shd w:val="clear" w:color="auto" w:fill="C5E0B3" w:themeFill="accent6" w:themeFillTint="66"/>
          </w:tcPr>
          <w:p w14:paraId="7FB47C76" w14:textId="379AB5B9" w:rsidR="00904F97" w:rsidRDefault="00904F97" w:rsidP="00092B72">
            <w:pPr>
              <w:rPr>
                <w:lang w:val="en-US"/>
              </w:rPr>
            </w:pPr>
            <w:r>
              <w:rPr>
                <w:lang w:val="en-US"/>
              </w:rPr>
              <w:t>Personnel: administrative support staff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A17B18E" w14:textId="1919D482" w:rsidR="00904F97" w:rsidRDefault="00745C1D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1E25E7">
              <w:rPr>
                <w:lang w:val="en-US"/>
              </w:rPr>
              <w:t>*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A0363A4" w14:textId="02EDFBC1" w:rsidR="00904F97" w:rsidRDefault="001E25E7" w:rsidP="00092B72">
            <w:pPr>
              <w:rPr>
                <w:lang w:val="en-US"/>
              </w:rPr>
            </w:pPr>
            <w:r>
              <w:rPr>
                <w:lang w:val="en-US"/>
              </w:rPr>
              <w:t>Yes*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F122FE5" w14:textId="05554F42" w:rsidR="00904F97" w:rsidRDefault="00243E58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787127" w14:paraId="623E16CD" w14:textId="77777777" w:rsidTr="70392D09">
        <w:tc>
          <w:tcPr>
            <w:tcW w:w="2254" w:type="dxa"/>
          </w:tcPr>
          <w:p w14:paraId="4ABDE5BA" w14:textId="32429C63" w:rsidR="00904F97" w:rsidRDefault="00904F97" w:rsidP="00092B72">
            <w:pPr>
              <w:rPr>
                <w:lang w:val="en-US"/>
              </w:rPr>
            </w:pPr>
            <w:r>
              <w:rPr>
                <w:lang w:val="en-US"/>
              </w:rPr>
              <w:t xml:space="preserve">Personnel: lab technicians </w:t>
            </w:r>
          </w:p>
        </w:tc>
        <w:tc>
          <w:tcPr>
            <w:tcW w:w="2254" w:type="dxa"/>
          </w:tcPr>
          <w:p w14:paraId="7222DE45" w14:textId="30E43CEE" w:rsidR="00904F97" w:rsidRDefault="00745C1D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E164C4">
              <w:rPr>
                <w:lang w:val="en-US"/>
              </w:rPr>
              <w:t>*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EB5E4C4" w14:textId="5237C08A" w:rsidR="00904F97" w:rsidRDefault="00745C1D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E164C4">
              <w:rPr>
                <w:lang w:val="en-US"/>
              </w:rPr>
              <w:t>*</w:t>
            </w:r>
          </w:p>
        </w:tc>
        <w:tc>
          <w:tcPr>
            <w:tcW w:w="2254" w:type="dxa"/>
          </w:tcPr>
          <w:p w14:paraId="63161C07" w14:textId="4196033C" w:rsidR="00904F97" w:rsidRDefault="00377240" w:rsidP="00092B72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</w:tr>
      <w:tr w:rsidR="00787127" w14:paraId="431A12B5" w14:textId="77777777" w:rsidTr="70392D09">
        <w:tc>
          <w:tcPr>
            <w:tcW w:w="2254" w:type="dxa"/>
          </w:tcPr>
          <w:p w14:paraId="533A63F3" w14:textId="3739F6EA" w:rsidR="00904F97" w:rsidRDefault="00904F97" w:rsidP="00092B72">
            <w:pPr>
              <w:rPr>
                <w:lang w:val="en-US"/>
              </w:rPr>
            </w:pPr>
            <w:r>
              <w:rPr>
                <w:lang w:val="en-US"/>
              </w:rPr>
              <w:t>Personnel: field technicians</w:t>
            </w:r>
          </w:p>
        </w:tc>
        <w:tc>
          <w:tcPr>
            <w:tcW w:w="2254" w:type="dxa"/>
          </w:tcPr>
          <w:p w14:paraId="02193E44" w14:textId="0EA4365A" w:rsidR="00904F97" w:rsidRDefault="00872A77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A473E6">
              <w:rPr>
                <w:lang w:val="en-US"/>
              </w:rPr>
              <w:t>*</w:t>
            </w:r>
          </w:p>
        </w:tc>
        <w:tc>
          <w:tcPr>
            <w:tcW w:w="2254" w:type="dxa"/>
          </w:tcPr>
          <w:p w14:paraId="1D767A24" w14:textId="599D8103" w:rsidR="00904F97" w:rsidRDefault="00872A77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A473E6">
              <w:rPr>
                <w:lang w:val="en-US"/>
              </w:rPr>
              <w:t>*</w:t>
            </w:r>
          </w:p>
        </w:tc>
        <w:tc>
          <w:tcPr>
            <w:tcW w:w="2254" w:type="dxa"/>
          </w:tcPr>
          <w:p w14:paraId="65387CD6" w14:textId="4F399E58" w:rsidR="00904F97" w:rsidRDefault="00872A77" w:rsidP="00092B72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787127" w14:paraId="2EC8972A" w14:textId="77777777" w:rsidTr="70392D09">
        <w:tc>
          <w:tcPr>
            <w:tcW w:w="2254" w:type="dxa"/>
          </w:tcPr>
          <w:p w14:paraId="4F8450B4" w14:textId="3D3E9A18" w:rsidR="00501CA9" w:rsidRDefault="003F5BEE" w:rsidP="00092B72">
            <w:pPr>
              <w:rPr>
                <w:lang w:val="en-US"/>
              </w:rPr>
            </w:pPr>
            <w:r>
              <w:rPr>
                <w:lang w:val="en-US"/>
              </w:rPr>
              <w:t>Overheads</w:t>
            </w:r>
          </w:p>
        </w:tc>
        <w:tc>
          <w:tcPr>
            <w:tcW w:w="2254" w:type="dxa"/>
          </w:tcPr>
          <w:p w14:paraId="2218D8AB" w14:textId="2CDABE5B" w:rsidR="00501CA9" w:rsidRDefault="005C15B6" w:rsidP="00092B72">
            <w:pPr>
              <w:rPr>
                <w:lang w:val="en-US"/>
              </w:rPr>
            </w:pPr>
            <w:r>
              <w:rPr>
                <w:lang w:val="en-US"/>
              </w:rPr>
              <w:t>44%</w:t>
            </w:r>
          </w:p>
        </w:tc>
        <w:tc>
          <w:tcPr>
            <w:tcW w:w="2254" w:type="dxa"/>
          </w:tcPr>
          <w:p w14:paraId="2E3CD257" w14:textId="3070C469" w:rsidR="00501CA9" w:rsidRPr="00FF786B" w:rsidRDefault="009B12D5" w:rsidP="00092B72">
            <w:r>
              <w:t>No</w:t>
            </w:r>
          </w:p>
        </w:tc>
        <w:tc>
          <w:tcPr>
            <w:tcW w:w="2254" w:type="dxa"/>
          </w:tcPr>
          <w:p w14:paraId="6E5E329D" w14:textId="3F97B968" w:rsidR="00501CA9" w:rsidRDefault="00872A77" w:rsidP="00092B72">
            <w:pPr>
              <w:rPr>
                <w:lang w:val="en-US"/>
              </w:rPr>
            </w:pPr>
            <w:r>
              <w:rPr>
                <w:lang w:val="en-US"/>
              </w:rPr>
              <w:t xml:space="preserve">25% </w:t>
            </w:r>
          </w:p>
        </w:tc>
      </w:tr>
      <w:tr w:rsidR="00787127" w:rsidRPr="00800510" w14:paraId="1F64BA68" w14:textId="77777777" w:rsidTr="70392D09">
        <w:tc>
          <w:tcPr>
            <w:tcW w:w="2254" w:type="dxa"/>
          </w:tcPr>
          <w:p w14:paraId="605BEFE9" w14:textId="292C43E1" w:rsidR="00501CA9" w:rsidRDefault="00F56B56" w:rsidP="00092B72">
            <w:pPr>
              <w:rPr>
                <w:lang w:val="en-US"/>
              </w:rPr>
            </w:pPr>
            <w:r w:rsidRPr="00F56B56">
              <w:rPr>
                <w:lang w:val="en-US"/>
              </w:rPr>
              <w:t>Project supplement</w:t>
            </w:r>
          </w:p>
        </w:tc>
        <w:tc>
          <w:tcPr>
            <w:tcW w:w="2254" w:type="dxa"/>
          </w:tcPr>
          <w:p w14:paraId="420FACB0" w14:textId="547FC522" w:rsidR="00501CA9" w:rsidRDefault="00800510" w:rsidP="00092B72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254" w:type="dxa"/>
          </w:tcPr>
          <w:p w14:paraId="6E60BD1E" w14:textId="29B3015E" w:rsidR="00501CA9" w:rsidRPr="00C34FD6" w:rsidRDefault="0083212A" w:rsidP="00092B72">
            <w:pPr>
              <w:rPr>
                <w:lang w:val="en-US"/>
              </w:rPr>
            </w:pPr>
            <w:r>
              <w:rPr>
                <w:lang w:val="en-US"/>
              </w:rPr>
              <w:t xml:space="preserve">Yes – </w:t>
            </w:r>
            <w:r w:rsidR="000A4F0C">
              <w:rPr>
                <w:lang w:val="en-US"/>
              </w:rPr>
              <w:t xml:space="preserve">257,000 DKK per </w:t>
            </w:r>
            <w:r w:rsidR="00C958B4">
              <w:rPr>
                <w:lang w:val="en-US"/>
              </w:rPr>
              <w:t>“wet” research FTE (Ph</w:t>
            </w:r>
            <w:r w:rsidR="003E02C0">
              <w:rPr>
                <w:lang w:val="en-US"/>
              </w:rPr>
              <w:t>.</w:t>
            </w:r>
            <w:r w:rsidR="00C958B4">
              <w:rPr>
                <w:lang w:val="en-US"/>
              </w:rPr>
              <w:t>D</w:t>
            </w:r>
            <w:r w:rsidR="003E02C0">
              <w:rPr>
                <w:lang w:val="en-US"/>
              </w:rPr>
              <w:t>.’</w:t>
            </w:r>
            <w:r w:rsidR="00C958B4">
              <w:rPr>
                <w:lang w:val="en-US"/>
              </w:rPr>
              <w:t>s, postdocs, research assistants</w:t>
            </w:r>
            <w:r w:rsidR="00393E05">
              <w:rPr>
                <w:lang w:val="en-US"/>
              </w:rPr>
              <w:t xml:space="preserve">) – NOT calculated based on professors, associate or assistant professor or technical/ administrative staff. </w:t>
            </w:r>
          </w:p>
        </w:tc>
        <w:tc>
          <w:tcPr>
            <w:tcW w:w="2254" w:type="dxa"/>
          </w:tcPr>
          <w:p w14:paraId="1044184B" w14:textId="458B2CAA" w:rsidR="00501CA9" w:rsidRPr="00800510" w:rsidRDefault="00800510" w:rsidP="00092B72">
            <w:r>
              <w:t>No</w:t>
            </w:r>
          </w:p>
        </w:tc>
      </w:tr>
      <w:tr w:rsidR="003519B4" w:rsidRPr="006610CB" w14:paraId="2CC0FBF5" w14:textId="77777777" w:rsidTr="70392D09">
        <w:tc>
          <w:tcPr>
            <w:tcW w:w="2254" w:type="dxa"/>
            <w:shd w:val="clear" w:color="auto" w:fill="C5E0B3" w:themeFill="accent6" w:themeFillTint="66"/>
          </w:tcPr>
          <w:p w14:paraId="764FF45B" w14:textId="4A1A45CA" w:rsidR="00340DD7" w:rsidRPr="00597318" w:rsidRDefault="00340DD7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Depreciation (for equipment above 100.000 DKK)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45E3952" w14:textId="22900044" w:rsidR="00340DD7" w:rsidRPr="00597318" w:rsidRDefault="00340DD7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 xml:space="preserve">Yes, if equipment purchased as part of the project 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DC9FF24" w14:textId="7D7009CE" w:rsidR="00340DD7" w:rsidRPr="00597318" w:rsidRDefault="00340DD7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 xml:space="preserve">Yes, if equipment purchased as part of the project 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94DE7C3" w14:textId="6A0B20D8" w:rsidR="00340DD7" w:rsidRPr="00597318" w:rsidRDefault="00340DD7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 xml:space="preserve">Yes, if equipment purchased as part of the project </w:t>
            </w:r>
          </w:p>
        </w:tc>
      </w:tr>
      <w:tr w:rsidR="004B1140" w14:paraId="205AEA89" w14:textId="77777777" w:rsidTr="3D0086EF">
        <w:tc>
          <w:tcPr>
            <w:tcW w:w="2254" w:type="dxa"/>
            <w:shd w:val="clear" w:color="auto" w:fill="C5E0B3" w:themeFill="accent6" w:themeFillTint="66"/>
          </w:tcPr>
          <w:p w14:paraId="07146658" w14:textId="6D7338CF" w:rsidR="00340DD7" w:rsidRPr="00B75447" w:rsidRDefault="003E02C0" w:rsidP="00340DD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3E02C0">
              <w:rPr>
                <w:lang w:val="en-US"/>
              </w:rPr>
              <w:t>epartment-funded infrastructures</w:t>
            </w:r>
            <w:r w:rsidR="00154B5A">
              <w:rPr>
                <w:lang w:val="en-US"/>
              </w:rPr>
              <w:t>*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4A6F44B" w14:textId="3DB11391" w:rsidR="00340DD7" w:rsidRPr="00B75447" w:rsidRDefault="00340DD7" w:rsidP="00340DD7">
            <w:pPr>
              <w:rPr>
                <w:lang w:val="en-US"/>
              </w:rPr>
            </w:pPr>
            <w:r w:rsidRPr="00B75447">
              <w:rPr>
                <w:lang w:val="en-US"/>
              </w:rPr>
              <w:t>Yes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3F6AF2D" w14:textId="22A57A52" w:rsidR="00340DD7" w:rsidRPr="00B75447" w:rsidRDefault="00340DD7" w:rsidP="00340DD7">
            <w:pPr>
              <w:rPr>
                <w:lang w:val="en-US"/>
              </w:rPr>
            </w:pPr>
            <w:r w:rsidRPr="00B75447">
              <w:rPr>
                <w:lang w:val="en-US"/>
              </w:rPr>
              <w:t>Yes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9AB013B" w14:textId="6C3B7767" w:rsidR="00340DD7" w:rsidRDefault="00340DD7" w:rsidP="00340DD7">
            <w:pPr>
              <w:rPr>
                <w:lang w:val="en-US"/>
              </w:rPr>
            </w:pPr>
            <w:r w:rsidRPr="00B75447">
              <w:rPr>
                <w:lang w:val="en-US"/>
              </w:rPr>
              <w:t>Yes</w:t>
            </w:r>
          </w:p>
        </w:tc>
      </w:tr>
      <w:tr w:rsidR="00787127" w14:paraId="1C337305" w14:textId="77777777" w:rsidTr="70392D09">
        <w:tc>
          <w:tcPr>
            <w:tcW w:w="2254" w:type="dxa"/>
          </w:tcPr>
          <w:p w14:paraId="49DBE646" w14:textId="62FD5EE2" w:rsidR="00340DD7" w:rsidRDefault="00340DD7" w:rsidP="00340DD7">
            <w:pPr>
              <w:rPr>
                <w:lang w:val="en-US"/>
              </w:rPr>
            </w:pPr>
            <w:r>
              <w:rPr>
                <w:lang w:val="en-US"/>
              </w:rPr>
              <w:t>Travel and accommodation</w:t>
            </w:r>
          </w:p>
        </w:tc>
        <w:tc>
          <w:tcPr>
            <w:tcW w:w="2254" w:type="dxa"/>
          </w:tcPr>
          <w:p w14:paraId="141DE725" w14:textId="262C1433" w:rsidR="00340DD7" w:rsidRDefault="00631E46" w:rsidP="00340DD7">
            <w:pPr>
              <w:rPr>
                <w:lang w:val="en-US"/>
              </w:rPr>
            </w:pPr>
            <w:r>
              <w:rPr>
                <w:lang w:val="en-US"/>
              </w:rPr>
              <w:t xml:space="preserve">Yes* </w:t>
            </w:r>
          </w:p>
        </w:tc>
        <w:tc>
          <w:tcPr>
            <w:tcW w:w="2254" w:type="dxa"/>
          </w:tcPr>
          <w:p w14:paraId="5A393681" w14:textId="2AEF64CD" w:rsidR="00340DD7" w:rsidRDefault="00631E46" w:rsidP="00340DD7">
            <w:pPr>
              <w:rPr>
                <w:lang w:val="en-US"/>
              </w:rPr>
            </w:pPr>
            <w:r>
              <w:rPr>
                <w:lang w:val="en-US"/>
              </w:rPr>
              <w:t>Yes*</w:t>
            </w:r>
          </w:p>
        </w:tc>
        <w:tc>
          <w:tcPr>
            <w:tcW w:w="2254" w:type="dxa"/>
          </w:tcPr>
          <w:p w14:paraId="5FECD851" w14:textId="4198C179" w:rsidR="00340DD7" w:rsidRDefault="00631E46" w:rsidP="00340DD7">
            <w:pPr>
              <w:rPr>
                <w:lang w:val="en-US"/>
              </w:rPr>
            </w:pPr>
            <w:r>
              <w:rPr>
                <w:lang w:val="en-US"/>
              </w:rPr>
              <w:t xml:space="preserve">Yes* </w:t>
            </w:r>
          </w:p>
        </w:tc>
      </w:tr>
      <w:tr w:rsidR="00787127" w14:paraId="2B906B3C" w14:textId="77777777" w:rsidTr="70392D09">
        <w:tc>
          <w:tcPr>
            <w:tcW w:w="2254" w:type="dxa"/>
          </w:tcPr>
          <w:p w14:paraId="74E94048" w14:textId="58A68633" w:rsidR="00340DD7" w:rsidRDefault="00340DD7" w:rsidP="00340DD7">
            <w:pPr>
              <w:rPr>
                <w:lang w:val="en-US"/>
              </w:rPr>
            </w:pPr>
            <w:r>
              <w:rPr>
                <w:lang w:val="en-US"/>
              </w:rPr>
              <w:t xml:space="preserve">Operations/ Consumables </w:t>
            </w:r>
          </w:p>
        </w:tc>
        <w:tc>
          <w:tcPr>
            <w:tcW w:w="2254" w:type="dxa"/>
          </w:tcPr>
          <w:p w14:paraId="3353FB99" w14:textId="1915E937" w:rsidR="00340DD7" w:rsidRDefault="006906B1" w:rsidP="00340DD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254" w:type="dxa"/>
          </w:tcPr>
          <w:p w14:paraId="37E7F6B9" w14:textId="48B7BE63" w:rsidR="00340DD7" w:rsidRDefault="006906B1" w:rsidP="00340DD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254" w:type="dxa"/>
          </w:tcPr>
          <w:p w14:paraId="58F0DE63" w14:textId="48596ECA" w:rsidR="00340DD7" w:rsidRDefault="00340DD7" w:rsidP="00340DD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787127" w14:paraId="0D030B34" w14:textId="77777777" w:rsidTr="70392D09">
        <w:tc>
          <w:tcPr>
            <w:tcW w:w="2254" w:type="dxa"/>
          </w:tcPr>
          <w:p w14:paraId="1437A3EE" w14:textId="0732A6DE" w:rsidR="00340DD7" w:rsidRDefault="00016FE6" w:rsidP="00340DD7">
            <w:pPr>
              <w:rPr>
                <w:lang w:val="en-US"/>
              </w:rPr>
            </w:pPr>
            <w:r>
              <w:rPr>
                <w:lang w:val="en-US"/>
              </w:rPr>
              <w:t>Procurements/ Subcontracting</w:t>
            </w:r>
          </w:p>
        </w:tc>
        <w:tc>
          <w:tcPr>
            <w:tcW w:w="2254" w:type="dxa"/>
          </w:tcPr>
          <w:p w14:paraId="35989D68" w14:textId="5DC791BF" w:rsidR="00340DD7" w:rsidRDefault="007F6AF3" w:rsidP="00340DD7">
            <w:pPr>
              <w:rPr>
                <w:lang w:val="en-US"/>
              </w:rPr>
            </w:pPr>
            <w:r>
              <w:rPr>
                <w:lang w:val="en-US"/>
              </w:rPr>
              <w:t>Call-dependent</w:t>
            </w:r>
          </w:p>
        </w:tc>
        <w:tc>
          <w:tcPr>
            <w:tcW w:w="2254" w:type="dxa"/>
          </w:tcPr>
          <w:p w14:paraId="3ADB5E3F" w14:textId="0A32593B" w:rsidR="00340DD7" w:rsidRDefault="007F6AF3" w:rsidP="00340DD7">
            <w:pPr>
              <w:rPr>
                <w:lang w:val="en-US"/>
              </w:rPr>
            </w:pPr>
            <w:r>
              <w:rPr>
                <w:lang w:val="en-US"/>
              </w:rPr>
              <w:t>Call-dependent</w:t>
            </w:r>
          </w:p>
        </w:tc>
        <w:tc>
          <w:tcPr>
            <w:tcW w:w="2254" w:type="dxa"/>
          </w:tcPr>
          <w:p w14:paraId="0CBB6AF6" w14:textId="36483C53" w:rsidR="00340DD7" w:rsidRDefault="00AC021A" w:rsidP="00340DD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787127" w14:paraId="546AC139" w14:textId="77777777" w:rsidTr="70392D09">
        <w:tc>
          <w:tcPr>
            <w:tcW w:w="2254" w:type="dxa"/>
          </w:tcPr>
          <w:p w14:paraId="2F3EECB0" w14:textId="0BE8DCFC" w:rsidR="00D74278" w:rsidRPr="00597318" w:rsidRDefault="00A87168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Ph.D. tuition fee?</w:t>
            </w:r>
          </w:p>
        </w:tc>
        <w:tc>
          <w:tcPr>
            <w:tcW w:w="2254" w:type="dxa"/>
          </w:tcPr>
          <w:p w14:paraId="1C0ADE67" w14:textId="61725BF2" w:rsidR="00D74278" w:rsidRPr="00597318" w:rsidRDefault="003317F8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Yes</w:t>
            </w:r>
            <w:r w:rsidR="00597318">
              <w:rPr>
                <w:lang w:val="en-US"/>
              </w:rPr>
              <w:t>**</w:t>
            </w:r>
          </w:p>
        </w:tc>
        <w:tc>
          <w:tcPr>
            <w:tcW w:w="2254" w:type="dxa"/>
          </w:tcPr>
          <w:p w14:paraId="6802CD50" w14:textId="7F8C09E1" w:rsidR="00D74278" w:rsidRPr="00597318" w:rsidRDefault="003317F8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Yes</w:t>
            </w:r>
          </w:p>
        </w:tc>
        <w:tc>
          <w:tcPr>
            <w:tcW w:w="2254" w:type="dxa"/>
          </w:tcPr>
          <w:p w14:paraId="4E8B633C" w14:textId="71AEB04D" w:rsidR="00D74278" w:rsidRPr="00597318" w:rsidRDefault="00806527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No</w:t>
            </w:r>
          </w:p>
        </w:tc>
      </w:tr>
      <w:tr w:rsidR="00787127" w14:paraId="1BB0DF18" w14:textId="77777777" w:rsidTr="70392D09">
        <w:tc>
          <w:tcPr>
            <w:tcW w:w="2254" w:type="dxa"/>
          </w:tcPr>
          <w:p w14:paraId="1E06C14C" w14:textId="4AAA8CD0" w:rsidR="00D74278" w:rsidRPr="00597318" w:rsidRDefault="00A87168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Field experiments?</w:t>
            </w:r>
          </w:p>
        </w:tc>
        <w:tc>
          <w:tcPr>
            <w:tcW w:w="2254" w:type="dxa"/>
          </w:tcPr>
          <w:p w14:paraId="04324B64" w14:textId="0558698F" w:rsidR="00D74278" w:rsidRPr="00597318" w:rsidRDefault="003317F8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Yes*</w:t>
            </w:r>
          </w:p>
        </w:tc>
        <w:tc>
          <w:tcPr>
            <w:tcW w:w="2254" w:type="dxa"/>
          </w:tcPr>
          <w:p w14:paraId="1882F972" w14:textId="2BD63352" w:rsidR="00D74278" w:rsidRPr="00597318" w:rsidRDefault="003317F8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Yes*</w:t>
            </w:r>
          </w:p>
        </w:tc>
        <w:tc>
          <w:tcPr>
            <w:tcW w:w="2254" w:type="dxa"/>
          </w:tcPr>
          <w:p w14:paraId="73A85424" w14:textId="537B963F" w:rsidR="00D74278" w:rsidRPr="00597318" w:rsidRDefault="003317F8" w:rsidP="00340DD7">
            <w:pPr>
              <w:rPr>
                <w:lang w:val="en-US"/>
              </w:rPr>
            </w:pPr>
            <w:r w:rsidRPr="00597318">
              <w:rPr>
                <w:lang w:val="en-US"/>
              </w:rPr>
              <w:t>Yes*</w:t>
            </w:r>
          </w:p>
        </w:tc>
      </w:tr>
    </w:tbl>
    <w:p w14:paraId="09668EB0" w14:textId="59FDC33B" w:rsidR="007F7C6A" w:rsidRDefault="001E25E7" w:rsidP="39DA4992">
      <w:pPr>
        <w:rPr>
          <w:sz w:val="20"/>
          <w:szCs w:val="20"/>
          <w:lang w:val="en-US"/>
        </w:rPr>
      </w:pPr>
      <w:r w:rsidRPr="0DBAE5AA">
        <w:rPr>
          <w:sz w:val="20"/>
          <w:szCs w:val="20"/>
          <w:lang w:val="en-US"/>
        </w:rPr>
        <w:t>*</w:t>
      </w:r>
      <w:r w:rsidR="00996CB8">
        <w:rPr>
          <w:sz w:val="20"/>
          <w:szCs w:val="20"/>
          <w:lang w:val="en-US"/>
        </w:rPr>
        <w:t xml:space="preserve"> I</w:t>
      </w:r>
      <w:r w:rsidR="00E164C4" w:rsidRPr="0DBAE5AA">
        <w:rPr>
          <w:sz w:val="20"/>
          <w:szCs w:val="20"/>
          <w:lang w:val="en-US"/>
        </w:rPr>
        <w:t>f directly involved in project activities</w:t>
      </w:r>
    </w:p>
    <w:p w14:paraId="3DA2EFDE" w14:textId="77777777" w:rsidR="00996CB8" w:rsidRDefault="00996CB8" w:rsidP="00996C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** Except GUDP and Grand Solutions</w:t>
      </w:r>
    </w:p>
    <w:p w14:paraId="4D6D9864" w14:textId="28C65D33" w:rsidR="00123D03" w:rsidRPr="00EB1D27" w:rsidRDefault="00EB1D27" w:rsidP="00996C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*** </w:t>
      </w:r>
      <w:r w:rsidRPr="00EB1D27">
        <w:rPr>
          <w:sz w:val="20"/>
          <w:szCs w:val="20"/>
          <w:lang w:val="en-US"/>
        </w:rPr>
        <w:t>Some of these requ</w:t>
      </w:r>
      <w:r>
        <w:rPr>
          <w:sz w:val="20"/>
          <w:szCs w:val="20"/>
          <w:lang w:val="en-US"/>
        </w:rPr>
        <w:t>i</w:t>
      </w:r>
      <w:r w:rsidRPr="00EB1D27">
        <w:rPr>
          <w:sz w:val="20"/>
          <w:szCs w:val="20"/>
          <w:lang w:val="en-US"/>
        </w:rPr>
        <w:t>re 10% co-financing</w:t>
      </w:r>
      <w:r w:rsidR="00E026EB">
        <w:rPr>
          <w:sz w:val="20"/>
          <w:szCs w:val="20"/>
          <w:lang w:val="en-US"/>
        </w:rPr>
        <w:t xml:space="preserve"> – see below for co-financing.</w:t>
      </w:r>
    </w:p>
    <w:p w14:paraId="3EF7A5DD" w14:textId="0A0490BE" w:rsidR="00996CB8" w:rsidRDefault="00996CB8" w:rsidP="39DA4992">
      <w:pPr>
        <w:rPr>
          <w:sz w:val="20"/>
          <w:szCs w:val="20"/>
          <w:lang w:val="en-US"/>
        </w:rPr>
      </w:pPr>
    </w:p>
    <w:p w14:paraId="7A3DE7AE" w14:textId="6FB00BEF" w:rsidR="007F6AF3" w:rsidRPr="006D1F8A" w:rsidRDefault="007F6AF3" w:rsidP="39DA4992">
      <w:pPr>
        <w:rPr>
          <w:sz w:val="20"/>
          <w:szCs w:val="20"/>
          <w:lang w:val="en-US"/>
        </w:rPr>
      </w:pPr>
    </w:p>
    <w:p w14:paraId="22B66D9D" w14:textId="4DDDA5FC" w:rsidR="007F6AF3" w:rsidRDefault="007F6AF3" w:rsidP="7755FEBD">
      <w:pPr>
        <w:rPr>
          <w:b/>
          <w:bCs/>
          <w:lang w:val="en-GB"/>
        </w:rPr>
      </w:pPr>
      <w:r w:rsidRPr="00BE0019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F70D4F" wp14:editId="2146C53E">
                <wp:simplePos x="0" y="0"/>
                <wp:positionH relativeFrom="margin">
                  <wp:posOffset>-21946</wp:posOffset>
                </wp:positionH>
                <wp:positionV relativeFrom="paragraph">
                  <wp:posOffset>-590194</wp:posOffset>
                </wp:positionV>
                <wp:extent cx="5391150" cy="9652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965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B7A66" w14:textId="77777777" w:rsidR="007F6AF3" w:rsidRPr="00226F9B" w:rsidRDefault="007F6AF3" w:rsidP="007F6AF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6F9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Always check the call guidelines!</w:t>
                            </w:r>
                          </w:p>
                          <w:p w14:paraId="4F137B43" w14:textId="77777777" w:rsidR="007F6AF3" w:rsidRPr="00226F9B" w:rsidRDefault="007F6AF3" w:rsidP="007F6AF3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6F9B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Bear in mind that some funds (e.g. DANIDA) can have differentiated overhead rates depending on the call (ranging from 0% to 44%)</w:t>
                            </w:r>
                          </w:p>
                          <w:p w14:paraId="396C9BDF" w14:textId="77777777" w:rsidR="007F6AF3" w:rsidRPr="00226F9B" w:rsidRDefault="007F6AF3" w:rsidP="007F6AF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70D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75pt;margin-top:-46.45pt;width:424.5pt;height:7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" fillcolor="#4472c4 [3204]" strokecolor="#09101d [484]" strokeweight="1pt">
                <v:textbox>
                  <w:txbxContent>
                    <w:p w14:paraId="4F7B7A66" w14:textId="77777777" w:rsidR="007F6AF3" w:rsidRPr="00226F9B" w:rsidRDefault="007F6AF3" w:rsidP="007F6AF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6F9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Always check the call guidelines!</w:t>
                      </w:r>
                    </w:p>
                    <w:p w14:paraId="4F137B43" w14:textId="77777777" w:rsidR="007F6AF3" w:rsidRPr="00226F9B" w:rsidRDefault="007F6AF3" w:rsidP="007F6AF3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6F9B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Bear in mind that some funds (e.g. DANIDA) can have differentiated overhead rates depending on the call (ranging from 0% to 44%)</w:t>
                      </w:r>
                    </w:p>
                    <w:p w14:paraId="396C9BDF" w14:textId="77777777" w:rsidR="007F6AF3" w:rsidRPr="00226F9B" w:rsidRDefault="007F6AF3" w:rsidP="007F6AF3">
                      <w:pPr>
                        <w:jc w:val="center"/>
                        <w:rPr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9894B7" w14:textId="2FF651AF" w:rsidR="007F7C6A" w:rsidRPr="007F7C6A" w:rsidRDefault="74BB5321" w:rsidP="7755FEBD">
      <w:pPr>
        <w:rPr>
          <w:b/>
          <w:bCs/>
          <w:lang w:val="en-GB"/>
        </w:rPr>
      </w:pPr>
      <w:r w:rsidRPr="7755FEBD">
        <w:rPr>
          <w:b/>
          <w:bCs/>
          <w:lang w:val="en-GB"/>
        </w:rPr>
        <w:lastRenderedPageBreak/>
        <w:t>Ph.D. scholarships</w:t>
      </w:r>
    </w:p>
    <w:p w14:paraId="3C4C88C1" w14:textId="06188E46" w:rsidR="007F7C6A" w:rsidRPr="007F7C6A" w:rsidRDefault="00165FC7" w:rsidP="39DA4992">
      <w:pPr>
        <w:rPr>
          <w:b/>
          <w:bCs/>
          <w:lang w:val="en-US"/>
        </w:rPr>
      </w:pPr>
      <w:r>
        <w:rPr>
          <w:lang w:val="en-GB"/>
        </w:rPr>
        <w:t xml:space="preserve">If your application contains </w:t>
      </w:r>
      <w:r w:rsidR="00DE60A8">
        <w:rPr>
          <w:lang w:val="en-GB"/>
        </w:rPr>
        <w:t>a</w:t>
      </w:r>
      <w:r w:rsidR="00CB2E93">
        <w:rPr>
          <w:lang w:val="en-GB"/>
        </w:rPr>
        <w:t xml:space="preserve"> </w:t>
      </w:r>
      <w:r w:rsidR="74BB5321" w:rsidRPr="7755FEBD">
        <w:rPr>
          <w:lang w:val="en-GB"/>
        </w:rPr>
        <w:t>Ph.D. scholarship</w:t>
      </w:r>
      <w:r w:rsidR="0021136E">
        <w:rPr>
          <w:lang w:val="en-GB"/>
        </w:rPr>
        <w:t>, you</w:t>
      </w:r>
      <w:r w:rsidR="74BB5321" w:rsidRPr="7755FEBD">
        <w:rPr>
          <w:lang w:val="en-GB"/>
        </w:rPr>
        <w:t xml:space="preserve"> </w:t>
      </w:r>
      <w:r w:rsidR="00645F46">
        <w:rPr>
          <w:lang w:val="en-GB"/>
        </w:rPr>
        <w:t xml:space="preserve">must </w:t>
      </w:r>
      <w:r w:rsidR="00870744">
        <w:rPr>
          <w:lang w:val="en-GB"/>
        </w:rPr>
        <w:t>budget for</w:t>
      </w:r>
      <w:r w:rsidR="00645F46">
        <w:rPr>
          <w:lang w:val="en-GB"/>
        </w:rPr>
        <w:t xml:space="preserve"> salary for the full period of the PhD,</w:t>
      </w:r>
      <w:r w:rsidR="00CB2E93">
        <w:rPr>
          <w:lang w:val="en-GB"/>
        </w:rPr>
        <w:t xml:space="preserve"> including an annual tuition fee of 80.000 DKK. </w:t>
      </w:r>
      <w:r w:rsidR="00CB2E93" w:rsidRPr="7755FEBD">
        <w:rPr>
          <w:lang w:val="en-GB"/>
        </w:rPr>
        <w:t>If this is not possible, the Head of Department must be consulted before applying.</w:t>
      </w:r>
    </w:p>
    <w:p w14:paraId="659396EF" w14:textId="12B67F9E" w:rsidR="007F7C6A" w:rsidRPr="007F7C6A" w:rsidRDefault="007F7C6A" w:rsidP="00092B72">
      <w:pPr>
        <w:rPr>
          <w:b/>
          <w:bCs/>
          <w:lang w:val="en-US"/>
        </w:rPr>
      </w:pPr>
      <w:r w:rsidRPr="007F7C6A">
        <w:rPr>
          <w:b/>
          <w:bCs/>
          <w:lang w:val="en-US"/>
        </w:rPr>
        <w:t>Co-Financing</w:t>
      </w:r>
    </w:p>
    <w:p w14:paraId="0B1FC2E3" w14:textId="5518B778" w:rsidR="00DE2B6D" w:rsidRDefault="00051329" w:rsidP="00092B72">
      <w:pPr>
        <w:rPr>
          <w:lang w:val="en-US"/>
        </w:rPr>
      </w:pPr>
      <w:r>
        <w:rPr>
          <w:lang w:val="en-US"/>
        </w:rPr>
        <w:t>As a rule, c</w:t>
      </w:r>
      <w:r w:rsidR="007563D5">
        <w:rPr>
          <w:lang w:val="en-US"/>
        </w:rPr>
        <w:t>o-</w:t>
      </w:r>
      <w:r w:rsidR="00DE2B6D">
        <w:rPr>
          <w:lang w:val="en-US"/>
        </w:rPr>
        <w:t>f</w:t>
      </w:r>
      <w:r w:rsidR="007563D5">
        <w:rPr>
          <w:lang w:val="en-US"/>
        </w:rPr>
        <w:t xml:space="preserve">inancing </w:t>
      </w:r>
      <w:r>
        <w:rPr>
          <w:lang w:val="en-US"/>
        </w:rPr>
        <w:t xml:space="preserve">can </w:t>
      </w:r>
      <w:r w:rsidR="00B0344B">
        <w:rPr>
          <w:lang w:val="en-US"/>
        </w:rPr>
        <w:t>only</w:t>
      </w:r>
      <w:r w:rsidR="00DE2B6D">
        <w:rPr>
          <w:lang w:val="en-US"/>
        </w:rPr>
        <w:t xml:space="preserve"> be included</w:t>
      </w:r>
      <w:r w:rsidR="00B0344B">
        <w:rPr>
          <w:lang w:val="en-US"/>
        </w:rPr>
        <w:t xml:space="preserve"> </w:t>
      </w:r>
      <w:r w:rsidR="00DE2B6D" w:rsidRPr="007F6AF3">
        <w:rPr>
          <w:b/>
          <w:bCs/>
          <w:lang w:val="en-US"/>
        </w:rPr>
        <w:t xml:space="preserve">if and </w:t>
      </w:r>
      <w:r w:rsidR="00B0344B" w:rsidRPr="007F6AF3">
        <w:rPr>
          <w:b/>
          <w:bCs/>
          <w:lang w:val="en-US"/>
        </w:rPr>
        <w:t>when required by the funder</w:t>
      </w:r>
      <w:r w:rsidR="00DE2B6D">
        <w:rPr>
          <w:lang w:val="en-US"/>
        </w:rPr>
        <w:t xml:space="preserve">. </w:t>
      </w:r>
    </w:p>
    <w:p w14:paraId="11840916" w14:textId="20B1B0B4" w:rsidR="00231AB1" w:rsidRPr="006610CB" w:rsidRDefault="00070F92" w:rsidP="00092B72">
      <w:pPr>
        <w:rPr>
          <w:lang w:val="en-US"/>
        </w:rPr>
      </w:pPr>
      <w:r>
        <w:rPr>
          <w:lang w:val="en-US"/>
        </w:rPr>
        <w:t xml:space="preserve">If the </w:t>
      </w:r>
      <w:r w:rsidR="00912DEE">
        <w:rPr>
          <w:lang w:val="en-US"/>
        </w:rPr>
        <w:t xml:space="preserve">co-financing </w:t>
      </w:r>
      <w:r>
        <w:rPr>
          <w:lang w:val="en-US"/>
        </w:rPr>
        <w:t>exceeds 10%, prior approval</w:t>
      </w:r>
      <w:r w:rsidR="004621D9">
        <w:rPr>
          <w:lang w:val="en-US"/>
        </w:rPr>
        <w:t xml:space="preserve"> by </w:t>
      </w:r>
      <w:r>
        <w:rPr>
          <w:lang w:val="en-US"/>
        </w:rPr>
        <w:t>Head of Department is</w:t>
      </w:r>
      <w:r w:rsidR="004621D9">
        <w:rPr>
          <w:lang w:val="en-US"/>
        </w:rPr>
        <w:t xml:space="preserve"> </w:t>
      </w:r>
      <w:r w:rsidR="00AC49FC">
        <w:rPr>
          <w:lang w:val="en-US"/>
        </w:rPr>
        <w:t xml:space="preserve">necessary to proceed with the application. </w:t>
      </w:r>
    </w:p>
    <w:p w14:paraId="50C83A8D" w14:textId="6CEE944D" w:rsidR="00E13302" w:rsidRDefault="1192BBDA" w:rsidP="00092B72">
      <w:pPr>
        <w:rPr>
          <w:lang w:val="en-US"/>
        </w:rPr>
      </w:pPr>
      <w:r w:rsidRPr="5E8752EE">
        <w:rPr>
          <w:b/>
          <w:bCs/>
          <w:lang w:val="en-US"/>
        </w:rPr>
        <w:t>More info</w:t>
      </w:r>
    </w:p>
    <w:p w14:paraId="3786913E" w14:textId="5076647E" w:rsidR="002A68E3" w:rsidRPr="006A00E1" w:rsidRDefault="002A68E3" w:rsidP="00092B72">
      <w:pPr>
        <w:rPr>
          <w:lang w:val="en-US"/>
        </w:rPr>
      </w:pPr>
      <w:r w:rsidRPr="006A00E1">
        <w:rPr>
          <w:lang w:val="en-US"/>
        </w:rPr>
        <w:t xml:space="preserve">External grants and </w:t>
      </w:r>
      <w:r w:rsidR="009B2FF6">
        <w:rPr>
          <w:lang w:val="en-US"/>
        </w:rPr>
        <w:t xml:space="preserve">competitive </w:t>
      </w:r>
      <w:r w:rsidRPr="006A00E1">
        <w:rPr>
          <w:lang w:val="en-US"/>
        </w:rPr>
        <w:t xml:space="preserve">project funding constitute the primary </w:t>
      </w:r>
      <w:r w:rsidR="006D1F8A">
        <w:rPr>
          <w:lang w:val="en-US"/>
        </w:rPr>
        <w:t>income</w:t>
      </w:r>
      <w:r w:rsidRPr="006A00E1">
        <w:rPr>
          <w:lang w:val="en-US"/>
        </w:rPr>
        <w:t xml:space="preserve"> source at </w:t>
      </w:r>
      <w:r w:rsidR="009D5BE6">
        <w:rPr>
          <w:lang w:val="en-US"/>
        </w:rPr>
        <w:t>AGRO</w:t>
      </w:r>
      <w:r w:rsidRPr="006A00E1">
        <w:rPr>
          <w:lang w:val="en-US"/>
        </w:rPr>
        <w:t xml:space="preserve">. </w:t>
      </w:r>
      <w:r w:rsidR="00025BFE">
        <w:rPr>
          <w:lang w:val="en-US"/>
        </w:rPr>
        <w:t xml:space="preserve">The increase in </w:t>
      </w:r>
      <w:r w:rsidR="00BC29B6">
        <w:rPr>
          <w:lang w:val="en-US"/>
        </w:rPr>
        <w:t>external grants at AGRO constitute</w:t>
      </w:r>
      <w:r w:rsidR="002E31A5">
        <w:rPr>
          <w:lang w:val="en-US"/>
        </w:rPr>
        <w:t>s</w:t>
      </w:r>
      <w:r w:rsidR="00BC29B6">
        <w:rPr>
          <w:lang w:val="en-US"/>
        </w:rPr>
        <w:t xml:space="preserve"> a challenge</w:t>
      </w:r>
      <w:r w:rsidR="002E31A5">
        <w:rPr>
          <w:lang w:val="en-US"/>
        </w:rPr>
        <w:t xml:space="preserve"> since the core funding remains either stable or declining. </w:t>
      </w:r>
      <w:r w:rsidR="00387134">
        <w:rPr>
          <w:lang w:val="en-US"/>
        </w:rPr>
        <w:t xml:space="preserve">Most </w:t>
      </w:r>
      <w:r w:rsidR="002E31A5">
        <w:rPr>
          <w:lang w:val="en-US"/>
        </w:rPr>
        <w:t>external</w:t>
      </w:r>
      <w:r w:rsidR="00A206B4">
        <w:rPr>
          <w:lang w:val="en-US"/>
        </w:rPr>
        <w:t>ly</w:t>
      </w:r>
      <w:r w:rsidR="002E31A5">
        <w:rPr>
          <w:lang w:val="en-US"/>
        </w:rPr>
        <w:t xml:space="preserve"> </w:t>
      </w:r>
      <w:r w:rsidR="00A206B4">
        <w:rPr>
          <w:lang w:val="en-US"/>
        </w:rPr>
        <w:t xml:space="preserve">funded projects </w:t>
      </w:r>
      <w:r w:rsidR="00092B72">
        <w:rPr>
          <w:lang w:val="en-US"/>
        </w:rPr>
        <w:t xml:space="preserve">rely heavily on </w:t>
      </w:r>
      <w:r w:rsidR="00A206B4">
        <w:rPr>
          <w:lang w:val="en-US"/>
        </w:rPr>
        <w:t xml:space="preserve">AGRO’s </w:t>
      </w:r>
      <w:r w:rsidRPr="006A00E1">
        <w:rPr>
          <w:lang w:val="en-US"/>
        </w:rPr>
        <w:t>infrastructure, facilities, and administration</w:t>
      </w:r>
      <w:r w:rsidR="003330D3">
        <w:rPr>
          <w:lang w:val="en-US"/>
        </w:rPr>
        <w:t xml:space="preserve"> costs</w:t>
      </w:r>
      <w:r w:rsidR="009909C5">
        <w:rPr>
          <w:lang w:val="en-US"/>
        </w:rPr>
        <w:t>, i.e.</w:t>
      </w:r>
      <w:r w:rsidR="00F80749">
        <w:rPr>
          <w:lang w:val="en-US"/>
        </w:rPr>
        <w:t xml:space="preserve"> costs</w:t>
      </w:r>
      <w:r w:rsidR="003330D3">
        <w:rPr>
          <w:lang w:val="en-US"/>
        </w:rPr>
        <w:t xml:space="preserve"> that </w:t>
      </w:r>
      <w:r w:rsidR="00361144">
        <w:rPr>
          <w:lang w:val="en-US"/>
        </w:rPr>
        <w:t>are mostly covered by core funding</w:t>
      </w:r>
      <w:r w:rsidR="00640E01">
        <w:rPr>
          <w:lang w:val="en-US"/>
        </w:rPr>
        <w:t>.</w:t>
      </w:r>
      <w:r w:rsidR="00361144">
        <w:rPr>
          <w:lang w:val="en-US"/>
        </w:rPr>
        <w:t xml:space="preserve"> </w:t>
      </w:r>
      <w:r w:rsidR="00640E01">
        <w:rPr>
          <w:lang w:val="en-US"/>
        </w:rPr>
        <w:t>Therefore,</w:t>
      </w:r>
      <w:r w:rsidR="00361144">
        <w:rPr>
          <w:lang w:val="en-US"/>
        </w:rPr>
        <w:t xml:space="preserve"> external funding needs to contribute to covering </w:t>
      </w:r>
      <w:r w:rsidR="00DF02CE">
        <w:rPr>
          <w:lang w:val="en-US"/>
        </w:rPr>
        <w:t xml:space="preserve">these expenses </w:t>
      </w:r>
      <w:r w:rsidR="00361144">
        <w:rPr>
          <w:lang w:val="en-US"/>
        </w:rPr>
        <w:t>through overheads, bench fees or other types of coverage</w:t>
      </w:r>
      <w:r w:rsidR="00B24757">
        <w:rPr>
          <w:lang w:val="en-US"/>
        </w:rPr>
        <w:t>/project supplements</w:t>
      </w:r>
      <w:r w:rsidR="00321945">
        <w:rPr>
          <w:lang w:val="en-US"/>
        </w:rPr>
        <w:t xml:space="preserve">. </w:t>
      </w:r>
    </w:p>
    <w:p w14:paraId="483FCFED" w14:textId="77777777" w:rsidR="00FD14EC" w:rsidRDefault="00FD14EC" w:rsidP="00FD14EC">
      <w:pPr>
        <w:rPr>
          <w:lang w:val="en-GB"/>
        </w:rPr>
      </w:pPr>
      <w:r w:rsidRPr="00EA7213">
        <w:rPr>
          <w:lang w:val="en-GB"/>
        </w:rPr>
        <w:t>National Public Funders</w:t>
      </w:r>
      <w:r>
        <w:rPr>
          <w:lang w:val="en-GB"/>
        </w:rPr>
        <w:t xml:space="preserve"> use </w:t>
      </w:r>
      <w:r w:rsidRPr="006D1F8A">
        <w:rPr>
          <w:b/>
          <w:bCs/>
          <w:lang w:val="en-GB"/>
        </w:rPr>
        <w:t>overhead</w:t>
      </w:r>
      <w:r>
        <w:rPr>
          <w:lang w:val="en-GB"/>
        </w:rPr>
        <w:t xml:space="preserve">, and the </w:t>
      </w:r>
      <w:r w:rsidRPr="003613D0">
        <w:rPr>
          <w:lang w:val="en-GB"/>
        </w:rPr>
        <w:t>National P</w:t>
      </w:r>
      <w:r>
        <w:rPr>
          <w:lang w:val="en-GB"/>
        </w:rPr>
        <w:t>rivate</w:t>
      </w:r>
      <w:r w:rsidRPr="003613D0">
        <w:rPr>
          <w:lang w:val="en-GB"/>
        </w:rPr>
        <w:t xml:space="preserve"> Funders</w:t>
      </w:r>
      <w:r>
        <w:rPr>
          <w:lang w:val="en-GB"/>
        </w:rPr>
        <w:t xml:space="preserve"> use </w:t>
      </w:r>
      <w:r w:rsidRPr="006D1F8A">
        <w:rPr>
          <w:b/>
          <w:bCs/>
          <w:lang w:val="en-GB"/>
        </w:rPr>
        <w:t>project supplements</w:t>
      </w:r>
      <w:r>
        <w:rPr>
          <w:b/>
          <w:bCs/>
          <w:lang w:val="en-GB"/>
        </w:rPr>
        <w:t xml:space="preserve"> or bench fee,</w:t>
      </w:r>
      <w:r>
        <w:rPr>
          <w:lang w:val="en-GB"/>
        </w:rPr>
        <w:t xml:space="preserve"> dependent on call guidelines.</w:t>
      </w:r>
    </w:p>
    <w:p w14:paraId="2BB2DDD6" w14:textId="77777777" w:rsidR="00D67EA8" w:rsidRDefault="00B16833" w:rsidP="000C7CE3">
      <w:pPr>
        <w:rPr>
          <w:lang w:val="en-GB"/>
        </w:rPr>
      </w:pPr>
      <w:r>
        <w:rPr>
          <w:lang w:val="en-GB"/>
        </w:rPr>
        <w:t xml:space="preserve">Overheads and </w:t>
      </w:r>
      <w:r w:rsidR="00471DFB">
        <w:rPr>
          <w:lang w:val="en-GB"/>
        </w:rPr>
        <w:t xml:space="preserve">bench fees are typically given as a percentage of project costs </w:t>
      </w:r>
      <w:r w:rsidR="00FA407B">
        <w:rPr>
          <w:lang w:val="en-GB"/>
        </w:rPr>
        <w:t xml:space="preserve">and meant to cover some of the </w:t>
      </w:r>
      <w:r w:rsidR="000C270F">
        <w:rPr>
          <w:lang w:val="en-GB"/>
        </w:rPr>
        <w:t>basic</w:t>
      </w:r>
      <w:r w:rsidR="00FA407B">
        <w:rPr>
          <w:lang w:val="en-GB"/>
        </w:rPr>
        <w:t xml:space="preserve"> costs of the university</w:t>
      </w:r>
      <w:r w:rsidR="000C270F">
        <w:rPr>
          <w:lang w:val="en-GB"/>
        </w:rPr>
        <w:t xml:space="preserve"> (e.g., administration, </w:t>
      </w:r>
      <w:r w:rsidR="00EE6259">
        <w:rPr>
          <w:lang w:val="en-GB"/>
        </w:rPr>
        <w:t>management, facilities)</w:t>
      </w:r>
      <w:r w:rsidR="00FA407B">
        <w:rPr>
          <w:lang w:val="en-GB"/>
        </w:rPr>
        <w:t>.</w:t>
      </w:r>
    </w:p>
    <w:p w14:paraId="75AD78D4" w14:textId="4D9A3359" w:rsidR="00811C52" w:rsidRDefault="00D67EA8" w:rsidP="000C7CE3">
      <w:pPr>
        <w:rPr>
          <w:lang w:val="en-US"/>
        </w:rPr>
      </w:pPr>
      <w:r w:rsidRPr="007F6AF3">
        <w:rPr>
          <w:b/>
          <w:bCs/>
          <w:lang w:val="en-GB"/>
        </w:rPr>
        <w:t>Project supplement</w:t>
      </w:r>
      <w:r>
        <w:rPr>
          <w:lang w:val="en-GB"/>
        </w:rPr>
        <w:t xml:space="preserve"> </w:t>
      </w:r>
      <w:r w:rsidR="006D273E">
        <w:rPr>
          <w:lang w:val="en-GB"/>
        </w:rPr>
        <w:t xml:space="preserve">is calculated </w:t>
      </w:r>
      <w:r w:rsidR="000833AD">
        <w:rPr>
          <w:lang w:val="en-GB"/>
        </w:rPr>
        <w:t>based on</w:t>
      </w:r>
      <w:r w:rsidR="006D273E">
        <w:rPr>
          <w:lang w:val="en-GB"/>
        </w:rPr>
        <w:t xml:space="preserve"> </w:t>
      </w:r>
      <w:r w:rsidR="002262AC">
        <w:rPr>
          <w:lang w:val="en-GB"/>
        </w:rPr>
        <w:t xml:space="preserve">junior researchers FTE in the project (PhD, </w:t>
      </w:r>
      <w:r w:rsidR="00B93F81">
        <w:rPr>
          <w:lang w:val="en-GB"/>
        </w:rPr>
        <w:t>postdocs</w:t>
      </w:r>
      <w:r w:rsidR="00812CCD">
        <w:rPr>
          <w:lang w:val="en-GB"/>
        </w:rPr>
        <w:t xml:space="preserve"> and in some cases research assistants)</w:t>
      </w:r>
      <w:r w:rsidR="000659D2">
        <w:rPr>
          <w:lang w:val="en-GB"/>
        </w:rPr>
        <w:t xml:space="preserve">. </w:t>
      </w:r>
      <w:r w:rsidR="00DB36AD">
        <w:rPr>
          <w:lang w:val="en-GB"/>
        </w:rPr>
        <w:t xml:space="preserve">It is </w:t>
      </w:r>
      <w:r w:rsidR="000659D2">
        <w:rPr>
          <w:lang w:val="en-US"/>
        </w:rPr>
        <w:t>NOT calculated based on professors, associate or assistant professor or technical/ administrative staff.</w:t>
      </w:r>
      <w:r w:rsidR="00811C52">
        <w:rPr>
          <w:lang w:val="en-US"/>
        </w:rPr>
        <w:t xml:space="preserve"> It is capped at 257.000</w:t>
      </w:r>
      <w:r w:rsidR="000833AD">
        <w:rPr>
          <w:lang w:val="en-US"/>
        </w:rPr>
        <w:t xml:space="preserve"> </w:t>
      </w:r>
      <w:r w:rsidR="00811C52">
        <w:rPr>
          <w:lang w:val="en-US"/>
        </w:rPr>
        <w:t>DKK</w:t>
      </w:r>
      <w:r w:rsidR="000833AD">
        <w:rPr>
          <w:lang w:val="en-US"/>
        </w:rPr>
        <w:t xml:space="preserve"> per FTE</w:t>
      </w:r>
      <w:r w:rsidR="00811C52">
        <w:rPr>
          <w:lang w:val="en-US"/>
        </w:rPr>
        <w:t xml:space="preserve"> as of March 2026. </w:t>
      </w:r>
    </w:p>
    <w:p w14:paraId="0C32D85F" w14:textId="0F603860" w:rsidR="00A90321" w:rsidRPr="000833AD" w:rsidRDefault="004E0C03" w:rsidP="006A00E1">
      <w:pPr>
        <w:rPr>
          <w:b/>
          <w:bCs/>
          <w:lang w:val="en-GB"/>
        </w:rPr>
      </w:pPr>
      <w:r w:rsidRPr="006A00E1">
        <w:rPr>
          <w:lang w:val="en-US"/>
        </w:rPr>
        <w:t xml:space="preserve">Project funding supports not only </w:t>
      </w:r>
      <w:r w:rsidR="000833AD">
        <w:rPr>
          <w:lang w:val="en-US"/>
        </w:rPr>
        <w:t xml:space="preserve">direct </w:t>
      </w:r>
      <w:r w:rsidRPr="006A00E1">
        <w:rPr>
          <w:lang w:val="en-US"/>
        </w:rPr>
        <w:t>research activities and salaries, but also contributes to shared infrastructure, administrative services, and the maintenance of buildings and facilities that enable our research.</w:t>
      </w:r>
      <w:r w:rsidR="00811C52" w:rsidRPr="00811C52">
        <w:rPr>
          <w:b/>
          <w:bCs/>
          <w:lang w:val="en-GB"/>
        </w:rPr>
        <w:t xml:space="preserve"> </w:t>
      </w:r>
      <w:r w:rsidR="00811C52" w:rsidRPr="006D1F8A">
        <w:rPr>
          <w:b/>
          <w:bCs/>
          <w:lang w:val="en-GB"/>
        </w:rPr>
        <w:t>Coverage</w:t>
      </w:r>
      <w:r w:rsidR="00811C52">
        <w:rPr>
          <w:lang w:val="en-GB"/>
        </w:rPr>
        <w:t xml:space="preserve"> is another way to cover costs of core functions in the department. It could be related to </w:t>
      </w:r>
      <w:r w:rsidR="000833AD">
        <w:rPr>
          <w:lang w:val="en-GB"/>
        </w:rPr>
        <w:t xml:space="preserve">common facilities, </w:t>
      </w:r>
      <w:r w:rsidR="00811C52">
        <w:rPr>
          <w:lang w:val="en-GB"/>
        </w:rPr>
        <w:t xml:space="preserve">staff in labs, secretariate and management, </w:t>
      </w:r>
      <w:r w:rsidR="000833AD">
        <w:rPr>
          <w:lang w:val="en-GB"/>
        </w:rPr>
        <w:t>and</w:t>
      </w:r>
      <w:r w:rsidR="00811C52">
        <w:rPr>
          <w:lang w:val="en-GB"/>
        </w:rPr>
        <w:t xml:space="preserve"> in some cases also permanent scientific staff. The income from external grants is thus </w:t>
      </w:r>
      <w:r w:rsidR="00811C52" w:rsidRPr="00AD0B54">
        <w:rPr>
          <w:lang w:val="en-GB"/>
        </w:rPr>
        <w:t xml:space="preserve">distributed across several levels of the organisation and supports both </w:t>
      </w:r>
      <w:r w:rsidR="00811C52">
        <w:rPr>
          <w:lang w:val="en-GB"/>
        </w:rPr>
        <w:t xml:space="preserve">direct </w:t>
      </w:r>
      <w:r w:rsidR="00811C52" w:rsidRPr="00AD0B54">
        <w:rPr>
          <w:lang w:val="en-GB"/>
        </w:rPr>
        <w:t xml:space="preserve">project-related costs and </w:t>
      </w:r>
      <w:r w:rsidR="00811C52">
        <w:rPr>
          <w:lang w:val="en-GB"/>
        </w:rPr>
        <w:t>costs</w:t>
      </w:r>
      <w:r w:rsidR="000833AD">
        <w:rPr>
          <w:lang w:val="en-GB"/>
        </w:rPr>
        <w:t xml:space="preserve"> of the university, faculty and department</w:t>
      </w:r>
      <w:r w:rsidR="00811C52">
        <w:rPr>
          <w:lang w:val="en-GB"/>
        </w:rPr>
        <w:t>.</w:t>
      </w:r>
    </w:p>
    <w:p w14:paraId="2C1A489F" w14:textId="73321C0E" w:rsidR="00C26BEF" w:rsidRPr="00AD0B54" w:rsidRDefault="00A9140B" w:rsidP="00C26BEF">
      <w:pPr>
        <w:rPr>
          <w:b/>
          <w:bCs/>
          <w:lang w:val="en-GB"/>
        </w:rPr>
      </w:pPr>
      <w:r w:rsidRPr="00A9140B">
        <w:rPr>
          <w:b/>
          <w:bCs/>
          <w:lang w:val="en-US"/>
        </w:rPr>
        <w:t xml:space="preserve">Why </w:t>
      </w:r>
      <w:r w:rsidR="006460F1">
        <w:rPr>
          <w:b/>
          <w:bCs/>
          <w:lang w:val="en-US"/>
        </w:rPr>
        <w:t xml:space="preserve">is </w:t>
      </w:r>
      <w:r w:rsidRPr="00A9140B">
        <w:rPr>
          <w:b/>
          <w:bCs/>
          <w:lang w:val="en-US"/>
        </w:rPr>
        <w:t>Full Cost Coverage Required</w:t>
      </w:r>
      <w:r w:rsidR="00C26BEF" w:rsidRPr="00AD0B54">
        <w:rPr>
          <w:b/>
          <w:bCs/>
          <w:lang w:val="en-GB"/>
        </w:rPr>
        <w:t>?</w:t>
      </w:r>
    </w:p>
    <w:p w14:paraId="5B589B01" w14:textId="47DAAB02" w:rsidR="00374B74" w:rsidRPr="00AD0B54" w:rsidRDefault="00B67ACC" w:rsidP="00374B74">
      <w:pPr>
        <w:rPr>
          <w:b/>
          <w:bCs/>
          <w:lang w:val="en-GB"/>
        </w:rPr>
      </w:pPr>
      <w:r>
        <w:rPr>
          <w:b/>
          <w:bCs/>
          <w:lang w:val="en-GB"/>
        </w:rPr>
        <w:t>Department</w:t>
      </w:r>
      <w:r w:rsidR="00374B74" w:rsidRPr="00AD0B54">
        <w:rPr>
          <w:b/>
          <w:bCs/>
          <w:lang w:val="en-GB"/>
        </w:rPr>
        <w:t xml:space="preserve"> Contributions (25%)</w:t>
      </w:r>
    </w:p>
    <w:p w14:paraId="2C67402C" w14:textId="6ACB4815" w:rsidR="00F0464A" w:rsidRPr="00AD0B54" w:rsidRDefault="00374B74" w:rsidP="00374B74">
      <w:pPr>
        <w:rPr>
          <w:lang w:val="en-GB"/>
        </w:rPr>
      </w:pPr>
      <w:r w:rsidRPr="00AD0B54">
        <w:rPr>
          <w:lang w:val="en-GB"/>
        </w:rPr>
        <w:t xml:space="preserve">AGRO </w:t>
      </w:r>
      <w:r w:rsidR="00D217DD">
        <w:rPr>
          <w:lang w:val="en-GB"/>
        </w:rPr>
        <w:t>pays</w:t>
      </w:r>
      <w:r w:rsidR="00D217DD" w:rsidRPr="00AD0B54">
        <w:rPr>
          <w:lang w:val="en-GB"/>
        </w:rPr>
        <w:t xml:space="preserve"> </w:t>
      </w:r>
      <w:r w:rsidRPr="00AD0B54">
        <w:rPr>
          <w:lang w:val="en-GB"/>
        </w:rPr>
        <w:t xml:space="preserve">25% of its </w:t>
      </w:r>
      <w:r w:rsidR="00D217DD">
        <w:rPr>
          <w:lang w:val="en-GB"/>
        </w:rPr>
        <w:t xml:space="preserve">total </w:t>
      </w:r>
      <w:r w:rsidR="00FB11AD">
        <w:rPr>
          <w:lang w:val="en-GB"/>
        </w:rPr>
        <w:t>income</w:t>
      </w:r>
      <w:r w:rsidR="00D217DD">
        <w:rPr>
          <w:lang w:val="en-GB"/>
        </w:rPr>
        <w:t xml:space="preserve"> (both core funding and external grants)</w:t>
      </w:r>
      <w:r w:rsidRPr="00AD0B54">
        <w:rPr>
          <w:lang w:val="en-GB"/>
        </w:rPr>
        <w:t xml:space="preserve"> to support the overall institutional structure</w:t>
      </w:r>
      <w:r w:rsidR="000833AD">
        <w:rPr>
          <w:lang w:val="en-GB"/>
        </w:rPr>
        <w:t xml:space="preserve"> and operations</w:t>
      </w:r>
      <w:r w:rsidRPr="00AD0B54">
        <w:rPr>
          <w:lang w:val="en-GB"/>
        </w:rPr>
        <w:t xml:space="preserve">. Approximately 13% of the total </w:t>
      </w:r>
      <w:r w:rsidR="00FB11AD">
        <w:rPr>
          <w:lang w:val="en-GB"/>
        </w:rPr>
        <w:t>income</w:t>
      </w:r>
      <w:r w:rsidR="00FB11AD" w:rsidRPr="00AD0B54">
        <w:rPr>
          <w:lang w:val="en-GB"/>
        </w:rPr>
        <w:t xml:space="preserve"> </w:t>
      </w:r>
      <w:r w:rsidRPr="00AD0B54">
        <w:rPr>
          <w:lang w:val="en-GB"/>
        </w:rPr>
        <w:t>goes to TECH and around 12% to AU’s central administration. This contributes to</w:t>
      </w:r>
      <w:r>
        <w:rPr>
          <w:lang w:val="en-GB"/>
        </w:rPr>
        <w:t xml:space="preserve"> </w:t>
      </w:r>
      <w:r w:rsidRPr="00AD0B54">
        <w:rPr>
          <w:lang w:val="en-GB"/>
        </w:rPr>
        <w:t>NAT/TECH Faculty administration</w:t>
      </w:r>
      <w:r>
        <w:rPr>
          <w:lang w:val="en-GB"/>
        </w:rPr>
        <w:t xml:space="preserve">, </w:t>
      </w:r>
      <w:r w:rsidRPr="00AD0B54">
        <w:rPr>
          <w:lang w:val="en-GB"/>
        </w:rPr>
        <w:t>The Dean’s office</w:t>
      </w:r>
      <w:r>
        <w:rPr>
          <w:lang w:val="en-GB"/>
        </w:rPr>
        <w:t xml:space="preserve">, and </w:t>
      </w:r>
      <w:r w:rsidRPr="00AD0B54">
        <w:rPr>
          <w:lang w:val="en-GB"/>
        </w:rPr>
        <w:t>Central administrative functions such as HR, finance, procurement, TTO, RSO, IT, and related services</w:t>
      </w:r>
      <w:r w:rsidR="00F0464A">
        <w:rPr>
          <w:lang w:val="en-GB"/>
        </w:rPr>
        <w:t xml:space="preserve">. </w:t>
      </w:r>
      <w:r w:rsidR="27FBC407" w:rsidRPr="0F94EFE7">
        <w:rPr>
          <w:lang w:val="en-GB"/>
        </w:rPr>
        <w:t xml:space="preserve">All costs related to the functioning of the department must then be </w:t>
      </w:r>
      <w:r w:rsidR="30413EE7" w:rsidRPr="73A08C66">
        <w:rPr>
          <w:lang w:val="en-GB"/>
        </w:rPr>
        <w:t xml:space="preserve">funded </w:t>
      </w:r>
      <w:r w:rsidR="27FBC407" w:rsidRPr="73A08C66">
        <w:rPr>
          <w:lang w:val="en-GB"/>
        </w:rPr>
        <w:t>by</w:t>
      </w:r>
      <w:r w:rsidR="27FBC407" w:rsidRPr="0F94EFE7">
        <w:rPr>
          <w:lang w:val="en-GB"/>
        </w:rPr>
        <w:t xml:space="preserve"> coverage above 25%. </w:t>
      </w:r>
      <w:r w:rsidR="00F0464A">
        <w:rPr>
          <w:lang w:val="en-GB"/>
        </w:rPr>
        <w:t xml:space="preserve">This </w:t>
      </w:r>
      <w:r w:rsidR="37B761F0" w:rsidRPr="2A28A6DF">
        <w:rPr>
          <w:lang w:val="en-GB"/>
        </w:rPr>
        <w:t>effectively</w:t>
      </w:r>
      <w:r w:rsidR="00F0464A">
        <w:rPr>
          <w:lang w:val="en-GB"/>
        </w:rPr>
        <w:t xml:space="preserve"> translates into a need for 33% </w:t>
      </w:r>
      <w:r w:rsidR="007D1B5E">
        <w:rPr>
          <w:lang w:val="en-GB"/>
        </w:rPr>
        <w:t>overhead or coverage rate for external projects, if they are not to become a deficit for the department.</w:t>
      </w:r>
      <w:r w:rsidR="00504665">
        <w:rPr>
          <w:lang w:val="en-GB"/>
        </w:rPr>
        <w:t xml:space="preserve"> </w:t>
      </w:r>
    </w:p>
    <w:p w14:paraId="67CB0ABA" w14:textId="653C2237" w:rsidR="00A9140B" w:rsidRPr="00374B74" w:rsidRDefault="314C960B" w:rsidP="00F96665">
      <w:pPr>
        <w:rPr>
          <w:lang w:val="en-GB"/>
        </w:rPr>
      </w:pPr>
      <w:r w:rsidRPr="7BA84890">
        <w:rPr>
          <w:lang w:val="en-GB"/>
        </w:rPr>
        <w:lastRenderedPageBreak/>
        <w:t>The 33% rate is a bare minimum as</w:t>
      </w:r>
      <w:r w:rsidR="000833AD" w:rsidRPr="7BA84890">
        <w:rPr>
          <w:lang w:val="en-GB"/>
        </w:rPr>
        <w:t xml:space="preserve"> the</w:t>
      </w:r>
      <w:r w:rsidR="005D3B8A">
        <w:rPr>
          <w:lang w:val="en-GB"/>
        </w:rPr>
        <w:t xml:space="preserve"> department also </w:t>
      </w:r>
      <w:r w:rsidR="00F96665">
        <w:rPr>
          <w:lang w:val="en-GB"/>
        </w:rPr>
        <w:t xml:space="preserve">has its own </w:t>
      </w:r>
      <w:r w:rsidR="00374B74" w:rsidRPr="0086522D">
        <w:rPr>
          <w:lang w:val="en-GB"/>
        </w:rPr>
        <w:t xml:space="preserve">indirect costs </w:t>
      </w:r>
      <w:r w:rsidR="00F96665">
        <w:rPr>
          <w:lang w:val="en-GB"/>
        </w:rPr>
        <w:t xml:space="preserve">related </w:t>
      </w:r>
      <w:r w:rsidR="00374B74">
        <w:rPr>
          <w:lang w:val="en-GB"/>
        </w:rPr>
        <w:t xml:space="preserve">to </w:t>
      </w:r>
      <w:r w:rsidR="00374B74" w:rsidRPr="0086522D">
        <w:rPr>
          <w:lang w:val="en-GB"/>
        </w:rPr>
        <w:t>infrastructure, administration, buildings, shared services, after the required allocation to TECH and central AU.</w:t>
      </w:r>
    </w:p>
    <w:p w14:paraId="7C04BA71" w14:textId="6980DD32" w:rsidR="00555BD1" w:rsidRDefault="0338C880" w:rsidP="7A6B5C96">
      <w:pPr>
        <w:rPr>
          <w:b/>
          <w:bCs/>
          <w:lang w:val="en-US"/>
        </w:rPr>
      </w:pPr>
      <w:r w:rsidRPr="292382DC">
        <w:rPr>
          <w:lang w:val="en-US"/>
        </w:rPr>
        <w:t>This is why, t</w:t>
      </w:r>
      <w:r w:rsidR="006A00E1" w:rsidRPr="292382DC">
        <w:rPr>
          <w:lang w:val="en-US"/>
        </w:rPr>
        <w:t>o</w:t>
      </w:r>
      <w:r w:rsidR="006A00E1" w:rsidRPr="006A00E1">
        <w:rPr>
          <w:lang w:val="en-US"/>
        </w:rPr>
        <w:t xml:space="preserve"> ensure the department’s long-term financial sustainability and avoid structural deficits, research proposals </w:t>
      </w:r>
      <w:r w:rsidR="00894CF0">
        <w:rPr>
          <w:lang w:val="en-US"/>
        </w:rPr>
        <w:t>need</w:t>
      </w:r>
      <w:r w:rsidR="00894CF0" w:rsidRPr="006A00E1">
        <w:rPr>
          <w:lang w:val="en-US"/>
        </w:rPr>
        <w:t xml:space="preserve"> </w:t>
      </w:r>
      <w:r w:rsidR="006A00E1" w:rsidRPr="006A00E1">
        <w:rPr>
          <w:lang w:val="en-US"/>
        </w:rPr>
        <w:t xml:space="preserve">to include a </w:t>
      </w:r>
      <w:r w:rsidR="006A00E1" w:rsidRPr="006A00E1">
        <w:rPr>
          <w:b/>
          <w:bCs/>
          <w:lang w:val="en-US"/>
        </w:rPr>
        <w:t xml:space="preserve">minimum </w:t>
      </w:r>
      <w:r w:rsidR="00A26658">
        <w:rPr>
          <w:b/>
          <w:bCs/>
          <w:lang w:val="en-US"/>
        </w:rPr>
        <w:t>“</w:t>
      </w:r>
      <w:r w:rsidR="00A26658" w:rsidRPr="00A26658">
        <w:rPr>
          <w:b/>
          <w:bCs/>
          <w:i/>
          <w:iCs/>
          <w:lang w:val="en-US"/>
        </w:rPr>
        <w:t>P</w:t>
      </w:r>
      <w:r w:rsidR="006A00E1" w:rsidRPr="00A26658">
        <w:rPr>
          <w:b/>
          <w:bCs/>
          <w:i/>
          <w:iCs/>
          <w:lang w:val="en-US"/>
        </w:rPr>
        <w:t xml:space="preserve">roject </w:t>
      </w:r>
      <w:r w:rsidR="00A26658" w:rsidRPr="00A26658">
        <w:rPr>
          <w:b/>
          <w:bCs/>
          <w:i/>
          <w:iCs/>
          <w:lang w:val="en-US"/>
        </w:rPr>
        <w:t>O</w:t>
      </w:r>
      <w:r w:rsidR="006A00E1" w:rsidRPr="00A26658">
        <w:rPr>
          <w:b/>
          <w:bCs/>
          <w:i/>
          <w:iCs/>
          <w:lang w:val="en-US"/>
        </w:rPr>
        <w:t xml:space="preserve">verhead </w:t>
      </w:r>
      <w:r w:rsidR="00A26658" w:rsidRPr="00A26658">
        <w:rPr>
          <w:b/>
          <w:bCs/>
          <w:i/>
          <w:iCs/>
          <w:lang w:val="en-US"/>
        </w:rPr>
        <w:t>and Cost Coverage</w:t>
      </w:r>
      <w:r w:rsidR="00A26658">
        <w:rPr>
          <w:b/>
          <w:bCs/>
          <w:i/>
          <w:iCs/>
          <w:lang w:val="en-US"/>
        </w:rPr>
        <w:t>”</w:t>
      </w:r>
      <w:r w:rsidR="00A26658">
        <w:rPr>
          <w:b/>
          <w:bCs/>
          <w:lang w:val="en-US"/>
        </w:rPr>
        <w:t xml:space="preserve"> </w:t>
      </w:r>
      <w:r w:rsidR="006A00E1" w:rsidRPr="006A00E1">
        <w:rPr>
          <w:b/>
          <w:bCs/>
          <w:lang w:val="en-US"/>
        </w:rPr>
        <w:t>of 3</w:t>
      </w:r>
      <w:r w:rsidR="00E34A54">
        <w:rPr>
          <w:b/>
          <w:bCs/>
          <w:lang w:val="en-US"/>
        </w:rPr>
        <w:t>3</w:t>
      </w:r>
      <w:r w:rsidR="006A00E1" w:rsidRPr="006A00E1">
        <w:rPr>
          <w:b/>
          <w:bCs/>
          <w:lang w:val="en-US"/>
        </w:rPr>
        <w:t>%</w:t>
      </w:r>
      <w:r w:rsidR="006A00E1" w:rsidRPr="006A00E1">
        <w:rPr>
          <w:lang w:val="en-US"/>
        </w:rPr>
        <w:t xml:space="preserve">, </w:t>
      </w:r>
      <w:r w:rsidR="00214FEE">
        <w:rPr>
          <w:lang w:val="en-US"/>
        </w:rPr>
        <w:t xml:space="preserve">thereby </w:t>
      </w:r>
      <w:r w:rsidR="006A00E1" w:rsidRPr="006A00E1">
        <w:rPr>
          <w:lang w:val="en-US"/>
        </w:rPr>
        <w:t xml:space="preserve">ensuring </w:t>
      </w:r>
      <w:r w:rsidR="003B37EF">
        <w:rPr>
          <w:lang w:val="en-US"/>
        </w:rPr>
        <w:t xml:space="preserve">a neutral </w:t>
      </w:r>
      <w:r w:rsidR="006A00E1" w:rsidRPr="006A00E1">
        <w:rPr>
          <w:lang w:val="en-US"/>
        </w:rPr>
        <w:t>cost coverage</w:t>
      </w:r>
      <w:r w:rsidR="00A26658">
        <w:rPr>
          <w:lang w:val="en-US"/>
        </w:rPr>
        <w:t xml:space="preserve"> for the department</w:t>
      </w:r>
      <w:r w:rsidR="006A00E1" w:rsidRPr="006A00E1">
        <w:rPr>
          <w:lang w:val="en-US"/>
        </w:rPr>
        <w:t>.</w:t>
      </w:r>
    </w:p>
    <w:sectPr w:rsidR="00555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C5E3" w14:textId="77777777" w:rsidR="00E47EAE" w:rsidRDefault="00E47EAE" w:rsidP="001E25E7">
      <w:pPr>
        <w:spacing w:after="0" w:line="240" w:lineRule="auto"/>
      </w:pPr>
      <w:r>
        <w:separator/>
      </w:r>
    </w:p>
  </w:endnote>
  <w:endnote w:type="continuationSeparator" w:id="0">
    <w:p w14:paraId="57D05BD8" w14:textId="77777777" w:rsidR="00E47EAE" w:rsidRDefault="00E47EAE" w:rsidP="001E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901E" w14:textId="77777777" w:rsidR="00E47EAE" w:rsidRDefault="00E47EAE" w:rsidP="001E25E7">
      <w:pPr>
        <w:spacing w:after="0" w:line="240" w:lineRule="auto"/>
      </w:pPr>
      <w:r>
        <w:separator/>
      </w:r>
    </w:p>
  </w:footnote>
  <w:footnote w:type="continuationSeparator" w:id="0">
    <w:p w14:paraId="46B79B26" w14:textId="77777777" w:rsidR="00E47EAE" w:rsidRDefault="00E47EAE" w:rsidP="001E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0A1"/>
    <w:multiLevelType w:val="hybridMultilevel"/>
    <w:tmpl w:val="B0C2A890"/>
    <w:lvl w:ilvl="0" w:tplc="7946DC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1722"/>
    <w:multiLevelType w:val="multilevel"/>
    <w:tmpl w:val="41D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21A23"/>
    <w:multiLevelType w:val="multilevel"/>
    <w:tmpl w:val="D01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15E0B"/>
    <w:multiLevelType w:val="multilevel"/>
    <w:tmpl w:val="52A4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134E7"/>
    <w:multiLevelType w:val="multilevel"/>
    <w:tmpl w:val="85A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43905"/>
    <w:multiLevelType w:val="multilevel"/>
    <w:tmpl w:val="851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C75FE"/>
    <w:multiLevelType w:val="multilevel"/>
    <w:tmpl w:val="DCE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B2D2C"/>
    <w:multiLevelType w:val="multilevel"/>
    <w:tmpl w:val="6600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759F7"/>
    <w:multiLevelType w:val="hybridMultilevel"/>
    <w:tmpl w:val="FFFFFFFF"/>
    <w:lvl w:ilvl="0" w:tplc="E632B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62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2D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A9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E3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6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AC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66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2371F"/>
    <w:multiLevelType w:val="multilevel"/>
    <w:tmpl w:val="AD54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8397D"/>
    <w:multiLevelType w:val="hybridMultilevel"/>
    <w:tmpl w:val="6276C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6FD8"/>
    <w:multiLevelType w:val="multilevel"/>
    <w:tmpl w:val="EC2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221A6"/>
    <w:multiLevelType w:val="hybridMultilevel"/>
    <w:tmpl w:val="3DF414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F7668"/>
    <w:multiLevelType w:val="multilevel"/>
    <w:tmpl w:val="721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80F98"/>
    <w:multiLevelType w:val="multilevel"/>
    <w:tmpl w:val="C43A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A1512"/>
    <w:multiLevelType w:val="multilevel"/>
    <w:tmpl w:val="F19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927C4"/>
    <w:multiLevelType w:val="multilevel"/>
    <w:tmpl w:val="90E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3B6A9F"/>
    <w:multiLevelType w:val="hybridMultilevel"/>
    <w:tmpl w:val="FFFFFFFF"/>
    <w:lvl w:ilvl="0" w:tplc="549EC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E9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CD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8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6C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2E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AD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D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63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172B"/>
    <w:multiLevelType w:val="multilevel"/>
    <w:tmpl w:val="29F2A7C6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3287F"/>
    <w:multiLevelType w:val="hybridMultilevel"/>
    <w:tmpl w:val="5DFE5B90"/>
    <w:lvl w:ilvl="0" w:tplc="9E34C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E6FBA"/>
    <w:multiLevelType w:val="multilevel"/>
    <w:tmpl w:val="0F4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737963">
    <w:abstractNumId w:val="6"/>
  </w:num>
  <w:num w:numId="2" w16cid:durableId="1411002612">
    <w:abstractNumId w:val="20"/>
  </w:num>
  <w:num w:numId="3" w16cid:durableId="1516309722">
    <w:abstractNumId w:val="3"/>
  </w:num>
  <w:num w:numId="4" w16cid:durableId="1646815092">
    <w:abstractNumId w:val="7"/>
  </w:num>
  <w:num w:numId="5" w16cid:durableId="1683699099">
    <w:abstractNumId w:val="2"/>
  </w:num>
  <w:num w:numId="6" w16cid:durableId="183596757">
    <w:abstractNumId w:val="9"/>
  </w:num>
  <w:num w:numId="7" w16cid:durableId="280117628">
    <w:abstractNumId w:val="1"/>
  </w:num>
  <w:num w:numId="8" w16cid:durableId="284848321">
    <w:abstractNumId w:val="4"/>
  </w:num>
  <w:num w:numId="9" w16cid:durableId="299071360">
    <w:abstractNumId w:val="10"/>
  </w:num>
  <w:num w:numId="10" w16cid:durableId="317199085">
    <w:abstractNumId w:val="13"/>
  </w:num>
  <w:num w:numId="11" w16cid:durableId="458645919">
    <w:abstractNumId w:val="5"/>
  </w:num>
  <w:num w:numId="12" w16cid:durableId="461655163">
    <w:abstractNumId w:val="12"/>
  </w:num>
  <w:num w:numId="13" w16cid:durableId="463424189">
    <w:abstractNumId w:val="14"/>
  </w:num>
  <w:num w:numId="14" w16cid:durableId="70660336">
    <w:abstractNumId w:val="18"/>
  </w:num>
  <w:num w:numId="15" w16cid:durableId="827601373">
    <w:abstractNumId w:val="16"/>
  </w:num>
  <w:num w:numId="16" w16cid:durableId="911424999">
    <w:abstractNumId w:val="11"/>
  </w:num>
  <w:num w:numId="17" w16cid:durableId="938178346">
    <w:abstractNumId w:val="15"/>
  </w:num>
  <w:num w:numId="18" w16cid:durableId="1535340246">
    <w:abstractNumId w:val="19"/>
  </w:num>
  <w:num w:numId="19" w16cid:durableId="1560171638">
    <w:abstractNumId w:val="8"/>
  </w:num>
  <w:num w:numId="20" w16cid:durableId="919872621">
    <w:abstractNumId w:val="17"/>
  </w:num>
  <w:num w:numId="21" w16cid:durableId="19862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5B"/>
    <w:rsid w:val="00000B95"/>
    <w:rsid w:val="00000D9B"/>
    <w:rsid w:val="00000D9D"/>
    <w:rsid w:val="00001A16"/>
    <w:rsid w:val="00002D02"/>
    <w:rsid w:val="000036AA"/>
    <w:rsid w:val="00006937"/>
    <w:rsid w:val="000142D0"/>
    <w:rsid w:val="0001432D"/>
    <w:rsid w:val="0001558B"/>
    <w:rsid w:val="00016FE6"/>
    <w:rsid w:val="00020AB7"/>
    <w:rsid w:val="00022DA6"/>
    <w:rsid w:val="00025BFE"/>
    <w:rsid w:val="00025C3B"/>
    <w:rsid w:val="00030637"/>
    <w:rsid w:val="00031251"/>
    <w:rsid w:val="0003228C"/>
    <w:rsid w:val="00033A85"/>
    <w:rsid w:val="000379B4"/>
    <w:rsid w:val="00042B1E"/>
    <w:rsid w:val="00043FEC"/>
    <w:rsid w:val="00044450"/>
    <w:rsid w:val="000459C0"/>
    <w:rsid w:val="000464C8"/>
    <w:rsid w:val="00050240"/>
    <w:rsid w:val="00051329"/>
    <w:rsid w:val="00051AC2"/>
    <w:rsid w:val="000520DB"/>
    <w:rsid w:val="000573B6"/>
    <w:rsid w:val="000616C3"/>
    <w:rsid w:val="00062CF8"/>
    <w:rsid w:val="00064A7E"/>
    <w:rsid w:val="00065892"/>
    <w:rsid w:val="000659D2"/>
    <w:rsid w:val="00065D0B"/>
    <w:rsid w:val="00066184"/>
    <w:rsid w:val="00067C6B"/>
    <w:rsid w:val="00070B53"/>
    <w:rsid w:val="00070F92"/>
    <w:rsid w:val="00071957"/>
    <w:rsid w:val="000734D7"/>
    <w:rsid w:val="000737FF"/>
    <w:rsid w:val="00073F51"/>
    <w:rsid w:val="00081036"/>
    <w:rsid w:val="00082868"/>
    <w:rsid w:val="00082A89"/>
    <w:rsid w:val="00082B88"/>
    <w:rsid w:val="00082C46"/>
    <w:rsid w:val="000833AD"/>
    <w:rsid w:val="00084543"/>
    <w:rsid w:val="00085CC7"/>
    <w:rsid w:val="00087671"/>
    <w:rsid w:val="00087FA3"/>
    <w:rsid w:val="0009066C"/>
    <w:rsid w:val="0009187F"/>
    <w:rsid w:val="00092AD9"/>
    <w:rsid w:val="00092B72"/>
    <w:rsid w:val="00092C54"/>
    <w:rsid w:val="000938BF"/>
    <w:rsid w:val="00096426"/>
    <w:rsid w:val="00097FBA"/>
    <w:rsid w:val="000A1C33"/>
    <w:rsid w:val="000A2D84"/>
    <w:rsid w:val="000A3547"/>
    <w:rsid w:val="000A4305"/>
    <w:rsid w:val="000A4F0C"/>
    <w:rsid w:val="000A6C32"/>
    <w:rsid w:val="000B01EC"/>
    <w:rsid w:val="000B0ECD"/>
    <w:rsid w:val="000B19EE"/>
    <w:rsid w:val="000B33E3"/>
    <w:rsid w:val="000B4918"/>
    <w:rsid w:val="000B5EB3"/>
    <w:rsid w:val="000B7962"/>
    <w:rsid w:val="000C0BE7"/>
    <w:rsid w:val="000C270F"/>
    <w:rsid w:val="000C32DF"/>
    <w:rsid w:val="000C4899"/>
    <w:rsid w:val="000C5AB8"/>
    <w:rsid w:val="000C7CE3"/>
    <w:rsid w:val="000D0667"/>
    <w:rsid w:val="000D0F10"/>
    <w:rsid w:val="000D0FEB"/>
    <w:rsid w:val="000D2C3B"/>
    <w:rsid w:val="000D6287"/>
    <w:rsid w:val="000E17F8"/>
    <w:rsid w:val="000E2B70"/>
    <w:rsid w:val="000E6917"/>
    <w:rsid w:val="000E75D0"/>
    <w:rsid w:val="000E7A55"/>
    <w:rsid w:val="000F4C3D"/>
    <w:rsid w:val="000F738E"/>
    <w:rsid w:val="000F7A41"/>
    <w:rsid w:val="000F7AA0"/>
    <w:rsid w:val="00100D7F"/>
    <w:rsid w:val="001031F4"/>
    <w:rsid w:val="00103C80"/>
    <w:rsid w:val="001052A3"/>
    <w:rsid w:val="00110013"/>
    <w:rsid w:val="001104A4"/>
    <w:rsid w:val="001104C5"/>
    <w:rsid w:val="00114A0E"/>
    <w:rsid w:val="00115819"/>
    <w:rsid w:val="00120755"/>
    <w:rsid w:val="0012106B"/>
    <w:rsid w:val="00121598"/>
    <w:rsid w:val="00123D03"/>
    <w:rsid w:val="0012513F"/>
    <w:rsid w:val="00126353"/>
    <w:rsid w:val="00126909"/>
    <w:rsid w:val="0012764D"/>
    <w:rsid w:val="0012781D"/>
    <w:rsid w:val="00132795"/>
    <w:rsid w:val="00132933"/>
    <w:rsid w:val="001346A9"/>
    <w:rsid w:val="0013471B"/>
    <w:rsid w:val="00136206"/>
    <w:rsid w:val="001414CB"/>
    <w:rsid w:val="0014347E"/>
    <w:rsid w:val="00143F03"/>
    <w:rsid w:val="00144CAE"/>
    <w:rsid w:val="00147AF6"/>
    <w:rsid w:val="00150236"/>
    <w:rsid w:val="001507AC"/>
    <w:rsid w:val="00154B5A"/>
    <w:rsid w:val="001550CD"/>
    <w:rsid w:val="001567C3"/>
    <w:rsid w:val="00165521"/>
    <w:rsid w:val="00165FB2"/>
    <w:rsid w:val="00165FC7"/>
    <w:rsid w:val="0016754A"/>
    <w:rsid w:val="00170FED"/>
    <w:rsid w:val="00173E8E"/>
    <w:rsid w:val="00174205"/>
    <w:rsid w:val="001747D6"/>
    <w:rsid w:val="001755F3"/>
    <w:rsid w:val="00176953"/>
    <w:rsid w:val="00180B24"/>
    <w:rsid w:val="00187628"/>
    <w:rsid w:val="001937EE"/>
    <w:rsid w:val="001938FE"/>
    <w:rsid w:val="00195006"/>
    <w:rsid w:val="001954B1"/>
    <w:rsid w:val="001A062A"/>
    <w:rsid w:val="001A2F78"/>
    <w:rsid w:val="001A4393"/>
    <w:rsid w:val="001A5DE7"/>
    <w:rsid w:val="001A64FD"/>
    <w:rsid w:val="001B0E79"/>
    <w:rsid w:val="001B1920"/>
    <w:rsid w:val="001B19A8"/>
    <w:rsid w:val="001C0F46"/>
    <w:rsid w:val="001C494B"/>
    <w:rsid w:val="001C6793"/>
    <w:rsid w:val="001D0C77"/>
    <w:rsid w:val="001D3EF2"/>
    <w:rsid w:val="001D60CD"/>
    <w:rsid w:val="001E25E7"/>
    <w:rsid w:val="001E3BF3"/>
    <w:rsid w:val="001E416E"/>
    <w:rsid w:val="001E5014"/>
    <w:rsid w:val="001E5438"/>
    <w:rsid w:val="001E5452"/>
    <w:rsid w:val="001E66EC"/>
    <w:rsid w:val="001F486A"/>
    <w:rsid w:val="001F5A7D"/>
    <w:rsid w:val="002001CD"/>
    <w:rsid w:val="00203A57"/>
    <w:rsid w:val="00204786"/>
    <w:rsid w:val="002049A9"/>
    <w:rsid w:val="0021136E"/>
    <w:rsid w:val="002125F4"/>
    <w:rsid w:val="00213C33"/>
    <w:rsid w:val="00214FEE"/>
    <w:rsid w:val="00216B93"/>
    <w:rsid w:val="0022012E"/>
    <w:rsid w:val="00220249"/>
    <w:rsid w:val="00221212"/>
    <w:rsid w:val="0022244E"/>
    <w:rsid w:val="00222CDD"/>
    <w:rsid w:val="00225A9B"/>
    <w:rsid w:val="00225AA8"/>
    <w:rsid w:val="002262AC"/>
    <w:rsid w:val="00226F9B"/>
    <w:rsid w:val="00227D6C"/>
    <w:rsid w:val="00230BAA"/>
    <w:rsid w:val="00230F89"/>
    <w:rsid w:val="00231568"/>
    <w:rsid w:val="00231AB1"/>
    <w:rsid w:val="002377A6"/>
    <w:rsid w:val="00240314"/>
    <w:rsid w:val="00240DC7"/>
    <w:rsid w:val="0024329D"/>
    <w:rsid w:val="00243E58"/>
    <w:rsid w:val="002446AE"/>
    <w:rsid w:val="0024497E"/>
    <w:rsid w:val="00245C44"/>
    <w:rsid w:val="00254BEA"/>
    <w:rsid w:val="00257312"/>
    <w:rsid w:val="0025754B"/>
    <w:rsid w:val="00257652"/>
    <w:rsid w:val="002604F2"/>
    <w:rsid w:val="00260841"/>
    <w:rsid w:val="00263005"/>
    <w:rsid w:val="00264B98"/>
    <w:rsid w:val="00280521"/>
    <w:rsid w:val="00282C02"/>
    <w:rsid w:val="0028402E"/>
    <w:rsid w:val="0028525B"/>
    <w:rsid w:val="00292FDA"/>
    <w:rsid w:val="00293316"/>
    <w:rsid w:val="00296357"/>
    <w:rsid w:val="00296613"/>
    <w:rsid w:val="00297D73"/>
    <w:rsid w:val="002A4CCB"/>
    <w:rsid w:val="002A68E3"/>
    <w:rsid w:val="002B0826"/>
    <w:rsid w:val="002B1465"/>
    <w:rsid w:val="002B1DE1"/>
    <w:rsid w:val="002B2AAF"/>
    <w:rsid w:val="002B578C"/>
    <w:rsid w:val="002C282F"/>
    <w:rsid w:val="002C2835"/>
    <w:rsid w:val="002C3026"/>
    <w:rsid w:val="002C35F1"/>
    <w:rsid w:val="002C4D61"/>
    <w:rsid w:val="002D1920"/>
    <w:rsid w:val="002D2FE7"/>
    <w:rsid w:val="002D497D"/>
    <w:rsid w:val="002E0C88"/>
    <w:rsid w:val="002E1202"/>
    <w:rsid w:val="002E143F"/>
    <w:rsid w:val="002E2C85"/>
    <w:rsid w:val="002E31A5"/>
    <w:rsid w:val="002E3D6F"/>
    <w:rsid w:val="002E523B"/>
    <w:rsid w:val="002E7C32"/>
    <w:rsid w:val="002F0EF4"/>
    <w:rsid w:val="002F3D46"/>
    <w:rsid w:val="002F7346"/>
    <w:rsid w:val="00301746"/>
    <w:rsid w:val="00302557"/>
    <w:rsid w:val="00302E6C"/>
    <w:rsid w:val="00310484"/>
    <w:rsid w:val="00310B96"/>
    <w:rsid w:val="00310EE5"/>
    <w:rsid w:val="003119E9"/>
    <w:rsid w:val="00312F84"/>
    <w:rsid w:val="00312FC5"/>
    <w:rsid w:val="00313EC2"/>
    <w:rsid w:val="00314B53"/>
    <w:rsid w:val="00315167"/>
    <w:rsid w:val="0031525B"/>
    <w:rsid w:val="003163DA"/>
    <w:rsid w:val="00316BEB"/>
    <w:rsid w:val="00321945"/>
    <w:rsid w:val="00323FF8"/>
    <w:rsid w:val="00327964"/>
    <w:rsid w:val="00330BEE"/>
    <w:rsid w:val="003317F8"/>
    <w:rsid w:val="00332C62"/>
    <w:rsid w:val="003330D3"/>
    <w:rsid w:val="00333B11"/>
    <w:rsid w:val="00336DFD"/>
    <w:rsid w:val="00337EF2"/>
    <w:rsid w:val="00340DD7"/>
    <w:rsid w:val="00341C5F"/>
    <w:rsid w:val="003449CE"/>
    <w:rsid w:val="00344AF5"/>
    <w:rsid w:val="00344EC9"/>
    <w:rsid w:val="003472C9"/>
    <w:rsid w:val="00347CCB"/>
    <w:rsid w:val="00347E2D"/>
    <w:rsid w:val="00347FC8"/>
    <w:rsid w:val="00347FFC"/>
    <w:rsid w:val="0035026F"/>
    <w:rsid w:val="00350FA4"/>
    <w:rsid w:val="003519B4"/>
    <w:rsid w:val="00351EF5"/>
    <w:rsid w:val="003532AB"/>
    <w:rsid w:val="0035457B"/>
    <w:rsid w:val="00356437"/>
    <w:rsid w:val="0036000E"/>
    <w:rsid w:val="003607F5"/>
    <w:rsid w:val="00361144"/>
    <w:rsid w:val="003613D0"/>
    <w:rsid w:val="00361E16"/>
    <w:rsid w:val="003648C3"/>
    <w:rsid w:val="00366872"/>
    <w:rsid w:val="00372695"/>
    <w:rsid w:val="00374B74"/>
    <w:rsid w:val="00374DE6"/>
    <w:rsid w:val="00377240"/>
    <w:rsid w:val="003820F0"/>
    <w:rsid w:val="003850A9"/>
    <w:rsid w:val="00387134"/>
    <w:rsid w:val="00387959"/>
    <w:rsid w:val="0039168B"/>
    <w:rsid w:val="00391830"/>
    <w:rsid w:val="0039206D"/>
    <w:rsid w:val="00392A8A"/>
    <w:rsid w:val="0039353C"/>
    <w:rsid w:val="003938A7"/>
    <w:rsid w:val="00393E05"/>
    <w:rsid w:val="00395990"/>
    <w:rsid w:val="00397EB5"/>
    <w:rsid w:val="003A1D94"/>
    <w:rsid w:val="003A5385"/>
    <w:rsid w:val="003A576B"/>
    <w:rsid w:val="003A7392"/>
    <w:rsid w:val="003B0006"/>
    <w:rsid w:val="003B2C22"/>
    <w:rsid w:val="003B37EF"/>
    <w:rsid w:val="003B4569"/>
    <w:rsid w:val="003B4A01"/>
    <w:rsid w:val="003C2198"/>
    <w:rsid w:val="003C2FC1"/>
    <w:rsid w:val="003C4DDC"/>
    <w:rsid w:val="003C6A54"/>
    <w:rsid w:val="003D511E"/>
    <w:rsid w:val="003D5730"/>
    <w:rsid w:val="003D65D5"/>
    <w:rsid w:val="003E02C0"/>
    <w:rsid w:val="003E0EC3"/>
    <w:rsid w:val="003E36DC"/>
    <w:rsid w:val="003E5017"/>
    <w:rsid w:val="003F0E4B"/>
    <w:rsid w:val="003F135E"/>
    <w:rsid w:val="003F2A4A"/>
    <w:rsid w:val="003F317C"/>
    <w:rsid w:val="003F3A5E"/>
    <w:rsid w:val="003F411B"/>
    <w:rsid w:val="003F5692"/>
    <w:rsid w:val="003F5BEE"/>
    <w:rsid w:val="003F73D3"/>
    <w:rsid w:val="003F7BFE"/>
    <w:rsid w:val="00400AE8"/>
    <w:rsid w:val="00401505"/>
    <w:rsid w:val="00401C33"/>
    <w:rsid w:val="00402654"/>
    <w:rsid w:val="00402B9D"/>
    <w:rsid w:val="00403A61"/>
    <w:rsid w:val="00404054"/>
    <w:rsid w:val="00407839"/>
    <w:rsid w:val="00413454"/>
    <w:rsid w:val="0041681D"/>
    <w:rsid w:val="0041694C"/>
    <w:rsid w:val="004207A0"/>
    <w:rsid w:val="00422A05"/>
    <w:rsid w:val="0042784C"/>
    <w:rsid w:val="004300E4"/>
    <w:rsid w:val="004316BF"/>
    <w:rsid w:val="004316C8"/>
    <w:rsid w:val="00433F8E"/>
    <w:rsid w:val="0043533F"/>
    <w:rsid w:val="0043537F"/>
    <w:rsid w:val="00442886"/>
    <w:rsid w:val="00442C53"/>
    <w:rsid w:val="00442E66"/>
    <w:rsid w:val="00445CFF"/>
    <w:rsid w:val="00445FB2"/>
    <w:rsid w:val="00453537"/>
    <w:rsid w:val="00453D07"/>
    <w:rsid w:val="00455817"/>
    <w:rsid w:val="0045584D"/>
    <w:rsid w:val="00455943"/>
    <w:rsid w:val="0045639A"/>
    <w:rsid w:val="00457823"/>
    <w:rsid w:val="0046029E"/>
    <w:rsid w:val="0046053C"/>
    <w:rsid w:val="00461197"/>
    <w:rsid w:val="004621D9"/>
    <w:rsid w:val="004649E5"/>
    <w:rsid w:val="00465D77"/>
    <w:rsid w:val="0046685D"/>
    <w:rsid w:val="004672AD"/>
    <w:rsid w:val="004714B7"/>
    <w:rsid w:val="004716A2"/>
    <w:rsid w:val="00471DFB"/>
    <w:rsid w:val="00473032"/>
    <w:rsid w:val="004744A5"/>
    <w:rsid w:val="00477652"/>
    <w:rsid w:val="00477C4C"/>
    <w:rsid w:val="004814CC"/>
    <w:rsid w:val="00482A3A"/>
    <w:rsid w:val="004862FF"/>
    <w:rsid w:val="00486A34"/>
    <w:rsid w:val="0048760C"/>
    <w:rsid w:val="00491A62"/>
    <w:rsid w:val="00493FB6"/>
    <w:rsid w:val="004959C2"/>
    <w:rsid w:val="00496A28"/>
    <w:rsid w:val="004975F1"/>
    <w:rsid w:val="004A0048"/>
    <w:rsid w:val="004A0B3A"/>
    <w:rsid w:val="004A2809"/>
    <w:rsid w:val="004A31B8"/>
    <w:rsid w:val="004A3630"/>
    <w:rsid w:val="004B1140"/>
    <w:rsid w:val="004B36ED"/>
    <w:rsid w:val="004B42EA"/>
    <w:rsid w:val="004B73C9"/>
    <w:rsid w:val="004C0074"/>
    <w:rsid w:val="004C19E5"/>
    <w:rsid w:val="004C45EA"/>
    <w:rsid w:val="004C5601"/>
    <w:rsid w:val="004D2598"/>
    <w:rsid w:val="004D35E6"/>
    <w:rsid w:val="004D3EC5"/>
    <w:rsid w:val="004D4F7A"/>
    <w:rsid w:val="004D5BAB"/>
    <w:rsid w:val="004D6C2B"/>
    <w:rsid w:val="004D7753"/>
    <w:rsid w:val="004E0C03"/>
    <w:rsid w:val="004E10B2"/>
    <w:rsid w:val="004E15C6"/>
    <w:rsid w:val="004E43A6"/>
    <w:rsid w:val="004E6997"/>
    <w:rsid w:val="004E7863"/>
    <w:rsid w:val="004F0832"/>
    <w:rsid w:val="004F0842"/>
    <w:rsid w:val="004F6051"/>
    <w:rsid w:val="004F770D"/>
    <w:rsid w:val="00501CA9"/>
    <w:rsid w:val="00504665"/>
    <w:rsid w:val="00505AF2"/>
    <w:rsid w:val="00505D9E"/>
    <w:rsid w:val="005067A5"/>
    <w:rsid w:val="00507455"/>
    <w:rsid w:val="00510158"/>
    <w:rsid w:val="00511974"/>
    <w:rsid w:val="00511D74"/>
    <w:rsid w:val="005126B8"/>
    <w:rsid w:val="00512938"/>
    <w:rsid w:val="00513D20"/>
    <w:rsid w:val="00514074"/>
    <w:rsid w:val="005152A7"/>
    <w:rsid w:val="00515460"/>
    <w:rsid w:val="00515E91"/>
    <w:rsid w:val="00515FB7"/>
    <w:rsid w:val="005170CC"/>
    <w:rsid w:val="00521F90"/>
    <w:rsid w:val="005242BB"/>
    <w:rsid w:val="005259F7"/>
    <w:rsid w:val="00527EF0"/>
    <w:rsid w:val="00536EFB"/>
    <w:rsid w:val="00537416"/>
    <w:rsid w:val="005374B0"/>
    <w:rsid w:val="00540B7B"/>
    <w:rsid w:val="0054157F"/>
    <w:rsid w:val="00542606"/>
    <w:rsid w:val="00544C26"/>
    <w:rsid w:val="00545148"/>
    <w:rsid w:val="005467B7"/>
    <w:rsid w:val="00551EE8"/>
    <w:rsid w:val="0055267C"/>
    <w:rsid w:val="00552A79"/>
    <w:rsid w:val="00552E25"/>
    <w:rsid w:val="00553082"/>
    <w:rsid w:val="00555BD1"/>
    <w:rsid w:val="00556947"/>
    <w:rsid w:val="00556C33"/>
    <w:rsid w:val="00561789"/>
    <w:rsid w:val="00562819"/>
    <w:rsid w:val="00563CE1"/>
    <w:rsid w:val="00564553"/>
    <w:rsid w:val="005713FB"/>
    <w:rsid w:val="00573CCB"/>
    <w:rsid w:val="005751BF"/>
    <w:rsid w:val="00575CAC"/>
    <w:rsid w:val="0058096C"/>
    <w:rsid w:val="00580BDF"/>
    <w:rsid w:val="005836A6"/>
    <w:rsid w:val="00586258"/>
    <w:rsid w:val="00586A9D"/>
    <w:rsid w:val="005873DD"/>
    <w:rsid w:val="005877A1"/>
    <w:rsid w:val="00592BCF"/>
    <w:rsid w:val="00594CB1"/>
    <w:rsid w:val="0059704F"/>
    <w:rsid w:val="00597318"/>
    <w:rsid w:val="005A0D81"/>
    <w:rsid w:val="005A2881"/>
    <w:rsid w:val="005A3C79"/>
    <w:rsid w:val="005A5BF8"/>
    <w:rsid w:val="005A65AF"/>
    <w:rsid w:val="005A6F49"/>
    <w:rsid w:val="005A7162"/>
    <w:rsid w:val="005B0EF2"/>
    <w:rsid w:val="005B2103"/>
    <w:rsid w:val="005B23F1"/>
    <w:rsid w:val="005B2DAE"/>
    <w:rsid w:val="005B51C9"/>
    <w:rsid w:val="005B6AA9"/>
    <w:rsid w:val="005B7758"/>
    <w:rsid w:val="005C15B6"/>
    <w:rsid w:val="005C25F8"/>
    <w:rsid w:val="005C5C58"/>
    <w:rsid w:val="005C6E00"/>
    <w:rsid w:val="005C7714"/>
    <w:rsid w:val="005D09E7"/>
    <w:rsid w:val="005D3B8A"/>
    <w:rsid w:val="005D4D6A"/>
    <w:rsid w:val="005E188E"/>
    <w:rsid w:val="005E2D41"/>
    <w:rsid w:val="005E30DD"/>
    <w:rsid w:val="005E4F21"/>
    <w:rsid w:val="005E63B7"/>
    <w:rsid w:val="005E646A"/>
    <w:rsid w:val="005F0164"/>
    <w:rsid w:val="005F3942"/>
    <w:rsid w:val="005F3C33"/>
    <w:rsid w:val="005F3E3F"/>
    <w:rsid w:val="005F455F"/>
    <w:rsid w:val="005F7B23"/>
    <w:rsid w:val="00601EFC"/>
    <w:rsid w:val="00602ABA"/>
    <w:rsid w:val="006039B4"/>
    <w:rsid w:val="006044BB"/>
    <w:rsid w:val="00606A02"/>
    <w:rsid w:val="006160CB"/>
    <w:rsid w:val="00621887"/>
    <w:rsid w:val="00626474"/>
    <w:rsid w:val="00630B02"/>
    <w:rsid w:val="006318F1"/>
    <w:rsid w:val="00631A86"/>
    <w:rsid w:val="00631E46"/>
    <w:rsid w:val="00632216"/>
    <w:rsid w:val="00633096"/>
    <w:rsid w:val="0063584A"/>
    <w:rsid w:val="00635DCC"/>
    <w:rsid w:val="00640E01"/>
    <w:rsid w:val="0064116D"/>
    <w:rsid w:val="00641601"/>
    <w:rsid w:val="006420C2"/>
    <w:rsid w:val="00645F46"/>
    <w:rsid w:val="006460F1"/>
    <w:rsid w:val="00647785"/>
    <w:rsid w:val="00650835"/>
    <w:rsid w:val="00650932"/>
    <w:rsid w:val="00653940"/>
    <w:rsid w:val="00654A27"/>
    <w:rsid w:val="00654D06"/>
    <w:rsid w:val="00656630"/>
    <w:rsid w:val="00660E61"/>
    <w:rsid w:val="006610CB"/>
    <w:rsid w:val="00661A7A"/>
    <w:rsid w:val="00663F97"/>
    <w:rsid w:val="006650B1"/>
    <w:rsid w:val="006669B4"/>
    <w:rsid w:val="00667E8E"/>
    <w:rsid w:val="00673B25"/>
    <w:rsid w:val="006741B8"/>
    <w:rsid w:val="00674B96"/>
    <w:rsid w:val="0067635A"/>
    <w:rsid w:val="00680B0E"/>
    <w:rsid w:val="00680BC1"/>
    <w:rsid w:val="00681E19"/>
    <w:rsid w:val="00682278"/>
    <w:rsid w:val="00682D4D"/>
    <w:rsid w:val="00686DE4"/>
    <w:rsid w:val="00687CFE"/>
    <w:rsid w:val="006906B1"/>
    <w:rsid w:val="00692827"/>
    <w:rsid w:val="006939B7"/>
    <w:rsid w:val="00693A4F"/>
    <w:rsid w:val="00693BC7"/>
    <w:rsid w:val="006956DC"/>
    <w:rsid w:val="00696DB3"/>
    <w:rsid w:val="006A00E1"/>
    <w:rsid w:val="006A1A4B"/>
    <w:rsid w:val="006A21B5"/>
    <w:rsid w:val="006A25FC"/>
    <w:rsid w:val="006A31B9"/>
    <w:rsid w:val="006A3497"/>
    <w:rsid w:val="006A4C55"/>
    <w:rsid w:val="006A52A1"/>
    <w:rsid w:val="006A58F4"/>
    <w:rsid w:val="006A6E16"/>
    <w:rsid w:val="006A7061"/>
    <w:rsid w:val="006A7E97"/>
    <w:rsid w:val="006B0280"/>
    <w:rsid w:val="006B22D3"/>
    <w:rsid w:val="006B2425"/>
    <w:rsid w:val="006B6843"/>
    <w:rsid w:val="006B71C1"/>
    <w:rsid w:val="006B7348"/>
    <w:rsid w:val="006C0416"/>
    <w:rsid w:val="006C2BE9"/>
    <w:rsid w:val="006C36BD"/>
    <w:rsid w:val="006C38E5"/>
    <w:rsid w:val="006C3EF0"/>
    <w:rsid w:val="006C6537"/>
    <w:rsid w:val="006D1A15"/>
    <w:rsid w:val="006D1F8A"/>
    <w:rsid w:val="006D26AC"/>
    <w:rsid w:val="006D273E"/>
    <w:rsid w:val="006D3AE0"/>
    <w:rsid w:val="006D52F7"/>
    <w:rsid w:val="006D569B"/>
    <w:rsid w:val="006D7D11"/>
    <w:rsid w:val="006E3D96"/>
    <w:rsid w:val="006E3D9E"/>
    <w:rsid w:val="006E7185"/>
    <w:rsid w:val="006E7677"/>
    <w:rsid w:val="006E7D30"/>
    <w:rsid w:val="006F01E3"/>
    <w:rsid w:val="006F06AF"/>
    <w:rsid w:val="006F097C"/>
    <w:rsid w:val="006F1C83"/>
    <w:rsid w:val="006F2605"/>
    <w:rsid w:val="006F2A66"/>
    <w:rsid w:val="00701FA9"/>
    <w:rsid w:val="00702551"/>
    <w:rsid w:val="00703217"/>
    <w:rsid w:val="00707542"/>
    <w:rsid w:val="00707B3F"/>
    <w:rsid w:val="0071116C"/>
    <w:rsid w:val="00711BDE"/>
    <w:rsid w:val="00711CFC"/>
    <w:rsid w:val="00713C68"/>
    <w:rsid w:val="007149A0"/>
    <w:rsid w:val="007163D8"/>
    <w:rsid w:val="0072242B"/>
    <w:rsid w:val="00724BBE"/>
    <w:rsid w:val="00725BA8"/>
    <w:rsid w:val="007279DA"/>
    <w:rsid w:val="00727D6F"/>
    <w:rsid w:val="007313F1"/>
    <w:rsid w:val="0073204C"/>
    <w:rsid w:val="007371E4"/>
    <w:rsid w:val="007371FA"/>
    <w:rsid w:val="00737B44"/>
    <w:rsid w:val="00745C1D"/>
    <w:rsid w:val="0075013E"/>
    <w:rsid w:val="007501D3"/>
    <w:rsid w:val="00750F1A"/>
    <w:rsid w:val="00751481"/>
    <w:rsid w:val="0075586D"/>
    <w:rsid w:val="007563D5"/>
    <w:rsid w:val="00756693"/>
    <w:rsid w:val="00757436"/>
    <w:rsid w:val="0076219B"/>
    <w:rsid w:val="00767CA6"/>
    <w:rsid w:val="00771024"/>
    <w:rsid w:val="007728F9"/>
    <w:rsid w:val="00773037"/>
    <w:rsid w:val="00774C50"/>
    <w:rsid w:val="00776ED5"/>
    <w:rsid w:val="00780996"/>
    <w:rsid w:val="0078170F"/>
    <w:rsid w:val="00783022"/>
    <w:rsid w:val="0078389C"/>
    <w:rsid w:val="007859F3"/>
    <w:rsid w:val="00786907"/>
    <w:rsid w:val="00787127"/>
    <w:rsid w:val="00790719"/>
    <w:rsid w:val="00791D79"/>
    <w:rsid w:val="007944F3"/>
    <w:rsid w:val="00796B2B"/>
    <w:rsid w:val="007A54D1"/>
    <w:rsid w:val="007A7A20"/>
    <w:rsid w:val="007A7E06"/>
    <w:rsid w:val="007B6223"/>
    <w:rsid w:val="007B6652"/>
    <w:rsid w:val="007C2410"/>
    <w:rsid w:val="007C2FBE"/>
    <w:rsid w:val="007C3816"/>
    <w:rsid w:val="007C48F0"/>
    <w:rsid w:val="007C4B60"/>
    <w:rsid w:val="007C4C4F"/>
    <w:rsid w:val="007C4CC8"/>
    <w:rsid w:val="007C5360"/>
    <w:rsid w:val="007C76ED"/>
    <w:rsid w:val="007D0AF1"/>
    <w:rsid w:val="007D1B5E"/>
    <w:rsid w:val="007D20CE"/>
    <w:rsid w:val="007D444B"/>
    <w:rsid w:val="007D537D"/>
    <w:rsid w:val="007E2C38"/>
    <w:rsid w:val="007F0109"/>
    <w:rsid w:val="007F107E"/>
    <w:rsid w:val="007F1F78"/>
    <w:rsid w:val="007F2729"/>
    <w:rsid w:val="007F3CE3"/>
    <w:rsid w:val="007F4045"/>
    <w:rsid w:val="007F4741"/>
    <w:rsid w:val="007F49F4"/>
    <w:rsid w:val="007F6AF3"/>
    <w:rsid w:val="007F7605"/>
    <w:rsid w:val="007F7C6A"/>
    <w:rsid w:val="00800510"/>
    <w:rsid w:val="00801436"/>
    <w:rsid w:val="00806422"/>
    <w:rsid w:val="00806527"/>
    <w:rsid w:val="00810997"/>
    <w:rsid w:val="00810D09"/>
    <w:rsid w:val="00811C52"/>
    <w:rsid w:val="00812CCD"/>
    <w:rsid w:val="00813528"/>
    <w:rsid w:val="00813EF9"/>
    <w:rsid w:val="008142A1"/>
    <w:rsid w:val="00814868"/>
    <w:rsid w:val="00816836"/>
    <w:rsid w:val="008205B7"/>
    <w:rsid w:val="00821304"/>
    <w:rsid w:val="00822CE6"/>
    <w:rsid w:val="00823BE4"/>
    <w:rsid w:val="00823C7E"/>
    <w:rsid w:val="00827946"/>
    <w:rsid w:val="00830071"/>
    <w:rsid w:val="008318BF"/>
    <w:rsid w:val="00831D0C"/>
    <w:rsid w:val="0083212A"/>
    <w:rsid w:val="008428EA"/>
    <w:rsid w:val="00843CBE"/>
    <w:rsid w:val="00844B8A"/>
    <w:rsid w:val="0084612D"/>
    <w:rsid w:val="0084674B"/>
    <w:rsid w:val="00847F13"/>
    <w:rsid w:val="00851C6C"/>
    <w:rsid w:val="00852478"/>
    <w:rsid w:val="00854472"/>
    <w:rsid w:val="00856509"/>
    <w:rsid w:val="00856779"/>
    <w:rsid w:val="00856817"/>
    <w:rsid w:val="008579D7"/>
    <w:rsid w:val="00857AD6"/>
    <w:rsid w:val="00863430"/>
    <w:rsid w:val="0086363F"/>
    <w:rsid w:val="00864768"/>
    <w:rsid w:val="00864B16"/>
    <w:rsid w:val="0086522D"/>
    <w:rsid w:val="00870744"/>
    <w:rsid w:val="00872A77"/>
    <w:rsid w:val="00876E43"/>
    <w:rsid w:val="0088021C"/>
    <w:rsid w:val="00883401"/>
    <w:rsid w:val="00883E06"/>
    <w:rsid w:val="008879C5"/>
    <w:rsid w:val="00894CF0"/>
    <w:rsid w:val="00895F09"/>
    <w:rsid w:val="00896D93"/>
    <w:rsid w:val="00897203"/>
    <w:rsid w:val="008A028A"/>
    <w:rsid w:val="008A2A77"/>
    <w:rsid w:val="008A4BB6"/>
    <w:rsid w:val="008A5E60"/>
    <w:rsid w:val="008A792B"/>
    <w:rsid w:val="008B1F4D"/>
    <w:rsid w:val="008B1F5B"/>
    <w:rsid w:val="008B2DA0"/>
    <w:rsid w:val="008B3E11"/>
    <w:rsid w:val="008B4232"/>
    <w:rsid w:val="008B4C32"/>
    <w:rsid w:val="008B4F82"/>
    <w:rsid w:val="008B6CDE"/>
    <w:rsid w:val="008B6FCC"/>
    <w:rsid w:val="008C086B"/>
    <w:rsid w:val="008C2CFE"/>
    <w:rsid w:val="008C31B0"/>
    <w:rsid w:val="008C786C"/>
    <w:rsid w:val="008D206E"/>
    <w:rsid w:val="008D30CF"/>
    <w:rsid w:val="008D69A6"/>
    <w:rsid w:val="008E0540"/>
    <w:rsid w:val="008E184D"/>
    <w:rsid w:val="008E4328"/>
    <w:rsid w:val="008E485F"/>
    <w:rsid w:val="008E7616"/>
    <w:rsid w:val="008F0F4E"/>
    <w:rsid w:val="008F29DF"/>
    <w:rsid w:val="008F3515"/>
    <w:rsid w:val="008F5D60"/>
    <w:rsid w:val="0090030B"/>
    <w:rsid w:val="00900C78"/>
    <w:rsid w:val="0090167D"/>
    <w:rsid w:val="00902260"/>
    <w:rsid w:val="00903503"/>
    <w:rsid w:val="00904BB6"/>
    <w:rsid w:val="00904F97"/>
    <w:rsid w:val="0090760F"/>
    <w:rsid w:val="00907D16"/>
    <w:rsid w:val="00910709"/>
    <w:rsid w:val="00911CBF"/>
    <w:rsid w:val="00912DEE"/>
    <w:rsid w:val="00913438"/>
    <w:rsid w:val="00914081"/>
    <w:rsid w:val="00914D0C"/>
    <w:rsid w:val="0091698E"/>
    <w:rsid w:val="009175CE"/>
    <w:rsid w:val="00917A34"/>
    <w:rsid w:val="00920864"/>
    <w:rsid w:val="00923EE7"/>
    <w:rsid w:val="0092493E"/>
    <w:rsid w:val="00926BA2"/>
    <w:rsid w:val="009276F8"/>
    <w:rsid w:val="00930D35"/>
    <w:rsid w:val="009342F1"/>
    <w:rsid w:val="00936581"/>
    <w:rsid w:val="00936897"/>
    <w:rsid w:val="00937F74"/>
    <w:rsid w:val="00940E12"/>
    <w:rsid w:val="00946C69"/>
    <w:rsid w:val="009470AC"/>
    <w:rsid w:val="009473CD"/>
    <w:rsid w:val="00947734"/>
    <w:rsid w:val="009524B4"/>
    <w:rsid w:val="00953AFE"/>
    <w:rsid w:val="00953C54"/>
    <w:rsid w:val="00957C5F"/>
    <w:rsid w:val="009610A7"/>
    <w:rsid w:val="00961F01"/>
    <w:rsid w:val="00963A7F"/>
    <w:rsid w:val="009655CC"/>
    <w:rsid w:val="00965FE3"/>
    <w:rsid w:val="00970396"/>
    <w:rsid w:val="00971ABA"/>
    <w:rsid w:val="00975E1A"/>
    <w:rsid w:val="0097784A"/>
    <w:rsid w:val="00981F08"/>
    <w:rsid w:val="00984CD1"/>
    <w:rsid w:val="009867F8"/>
    <w:rsid w:val="009909C5"/>
    <w:rsid w:val="00993342"/>
    <w:rsid w:val="00995294"/>
    <w:rsid w:val="00996CB8"/>
    <w:rsid w:val="009978A3"/>
    <w:rsid w:val="00997B80"/>
    <w:rsid w:val="009A0532"/>
    <w:rsid w:val="009A14C4"/>
    <w:rsid w:val="009A3EB7"/>
    <w:rsid w:val="009A56E8"/>
    <w:rsid w:val="009A6522"/>
    <w:rsid w:val="009A73A1"/>
    <w:rsid w:val="009A75A8"/>
    <w:rsid w:val="009B056B"/>
    <w:rsid w:val="009B12D5"/>
    <w:rsid w:val="009B2FF6"/>
    <w:rsid w:val="009C1439"/>
    <w:rsid w:val="009C3D64"/>
    <w:rsid w:val="009C4C10"/>
    <w:rsid w:val="009C5FB8"/>
    <w:rsid w:val="009C7E4F"/>
    <w:rsid w:val="009D29FA"/>
    <w:rsid w:val="009D5BE6"/>
    <w:rsid w:val="009D5F28"/>
    <w:rsid w:val="009D6D3F"/>
    <w:rsid w:val="009D7BE1"/>
    <w:rsid w:val="009E0E78"/>
    <w:rsid w:val="009E103E"/>
    <w:rsid w:val="009E1521"/>
    <w:rsid w:val="009E1D4B"/>
    <w:rsid w:val="009E1EE5"/>
    <w:rsid w:val="009E2599"/>
    <w:rsid w:val="009E60A7"/>
    <w:rsid w:val="009E61E0"/>
    <w:rsid w:val="009E7F8C"/>
    <w:rsid w:val="009F256D"/>
    <w:rsid w:val="009F419F"/>
    <w:rsid w:val="009F7A30"/>
    <w:rsid w:val="009F7D3C"/>
    <w:rsid w:val="00A0043E"/>
    <w:rsid w:val="00A02605"/>
    <w:rsid w:val="00A05E99"/>
    <w:rsid w:val="00A16568"/>
    <w:rsid w:val="00A206B4"/>
    <w:rsid w:val="00A25151"/>
    <w:rsid w:val="00A26658"/>
    <w:rsid w:val="00A2690A"/>
    <w:rsid w:val="00A273F5"/>
    <w:rsid w:val="00A30FC2"/>
    <w:rsid w:val="00A31230"/>
    <w:rsid w:val="00A31E35"/>
    <w:rsid w:val="00A31F47"/>
    <w:rsid w:val="00A32476"/>
    <w:rsid w:val="00A32953"/>
    <w:rsid w:val="00A32C4F"/>
    <w:rsid w:val="00A34E61"/>
    <w:rsid w:val="00A35841"/>
    <w:rsid w:val="00A35C26"/>
    <w:rsid w:val="00A362CD"/>
    <w:rsid w:val="00A36380"/>
    <w:rsid w:val="00A40B2D"/>
    <w:rsid w:val="00A44131"/>
    <w:rsid w:val="00A473E6"/>
    <w:rsid w:val="00A533DA"/>
    <w:rsid w:val="00A548DF"/>
    <w:rsid w:val="00A55CCA"/>
    <w:rsid w:val="00A57578"/>
    <w:rsid w:val="00A60493"/>
    <w:rsid w:val="00A6051E"/>
    <w:rsid w:val="00A646A5"/>
    <w:rsid w:val="00A65ADA"/>
    <w:rsid w:val="00A71E8E"/>
    <w:rsid w:val="00A72792"/>
    <w:rsid w:val="00A73065"/>
    <w:rsid w:val="00A74DC0"/>
    <w:rsid w:val="00A77673"/>
    <w:rsid w:val="00A8177C"/>
    <w:rsid w:val="00A81E4C"/>
    <w:rsid w:val="00A84F7B"/>
    <w:rsid w:val="00A87168"/>
    <w:rsid w:val="00A90321"/>
    <w:rsid w:val="00A90BE2"/>
    <w:rsid w:val="00A9140B"/>
    <w:rsid w:val="00A91C7C"/>
    <w:rsid w:val="00A92FBD"/>
    <w:rsid w:val="00A96873"/>
    <w:rsid w:val="00AA02FF"/>
    <w:rsid w:val="00AA2B02"/>
    <w:rsid w:val="00AA3520"/>
    <w:rsid w:val="00AA3FC3"/>
    <w:rsid w:val="00AA449B"/>
    <w:rsid w:val="00AA4E59"/>
    <w:rsid w:val="00AA7E8A"/>
    <w:rsid w:val="00AA7F55"/>
    <w:rsid w:val="00AB2AA8"/>
    <w:rsid w:val="00AB59D8"/>
    <w:rsid w:val="00AB7C4C"/>
    <w:rsid w:val="00AC021A"/>
    <w:rsid w:val="00AC0E05"/>
    <w:rsid w:val="00AC3F7B"/>
    <w:rsid w:val="00AC4196"/>
    <w:rsid w:val="00AC49FC"/>
    <w:rsid w:val="00AC656F"/>
    <w:rsid w:val="00AD0B54"/>
    <w:rsid w:val="00AD6DA2"/>
    <w:rsid w:val="00AD70FC"/>
    <w:rsid w:val="00AE0258"/>
    <w:rsid w:val="00AE1234"/>
    <w:rsid w:val="00AE1D05"/>
    <w:rsid w:val="00AE2B73"/>
    <w:rsid w:val="00AE3159"/>
    <w:rsid w:val="00AE342E"/>
    <w:rsid w:val="00AE3879"/>
    <w:rsid w:val="00AE57DE"/>
    <w:rsid w:val="00AE5E69"/>
    <w:rsid w:val="00AE742F"/>
    <w:rsid w:val="00AF2C73"/>
    <w:rsid w:val="00AF6435"/>
    <w:rsid w:val="00AF6E14"/>
    <w:rsid w:val="00B013DD"/>
    <w:rsid w:val="00B01E62"/>
    <w:rsid w:val="00B02617"/>
    <w:rsid w:val="00B02A29"/>
    <w:rsid w:val="00B0344B"/>
    <w:rsid w:val="00B0756F"/>
    <w:rsid w:val="00B07A51"/>
    <w:rsid w:val="00B119C6"/>
    <w:rsid w:val="00B12CA2"/>
    <w:rsid w:val="00B13B38"/>
    <w:rsid w:val="00B1428A"/>
    <w:rsid w:val="00B14385"/>
    <w:rsid w:val="00B16833"/>
    <w:rsid w:val="00B17D39"/>
    <w:rsid w:val="00B17E9E"/>
    <w:rsid w:val="00B2245C"/>
    <w:rsid w:val="00B23DC6"/>
    <w:rsid w:val="00B23EE0"/>
    <w:rsid w:val="00B24757"/>
    <w:rsid w:val="00B25EB2"/>
    <w:rsid w:val="00B34891"/>
    <w:rsid w:val="00B34CBE"/>
    <w:rsid w:val="00B367F6"/>
    <w:rsid w:val="00B40932"/>
    <w:rsid w:val="00B4107C"/>
    <w:rsid w:val="00B42849"/>
    <w:rsid w:val="00B43868"/>
    <w:rsid w:val="00B45BD3"/>
    <w:rsid w:val="00B47467"/>
    <w:rsid w:val="00B47C98"/>
    <w:rsid w:val="00B5171D"/>
    <w:rsid w:val="00B523EC"/>
    <w:rsid w:val="00B54DED"/>
    <w:rsid w:val="00B60B5B"/>
    <w:rsid w:val="00B631BE"/>
    <w:rsid w:val="00B6353C"/>
    <w:rsid w:val="00B64A98"/>
    <w:rsid w:val="00B64B0E"/>
    <w:rsid w:val="00B64E9A"/>
    <w:rsid w:val="00B67ACC"/>
    <w:rsid w:val="00B67DD9"/>
    <w:rsid w:val="00B72EF6"/>
    <w:rsid w:val="00B75447"/>
    <w:rsid w:val="00B76A9B"/>
    <w:rsid w:val="00B84243"/>
    <w:rsid w:val="00B85643"/>
    <w:rsid w:val="00B85B65"/>
    <w:rsid w:val="00B93CDC"/>
    <w:rsid w:val="00B93F81"/>
    <w:rsid w:val="00B96758"/>
    <w:rsid w:val="00B9748E"/>
    <w:rsid w:val="00BA3500"/>
    <w:rsid w:val="00BA43B6"/>
    <w:rsid w:val="00BB0777"/>
    <w:rsid w:val="00BB27E4"/>
    <w:rsid w:val="00BB287C"/>
    <w:rsid w:val="00BB28AD"/>
    <w:rsid w:val="00BB2B7E"/>
    <w:rsid w:val="00BB484F"/>
    <w:rsid w:val="00BB55AA"/>
    <w:rsid w:val="00BB6BDF"/>
    <w:rsid w:val="00BB7090"/>
    <w:rsid w:val="00BB7950"/>
    <w:rsid w:val="00BC0514"/>
    <w:rsid w:val="00BC0BE1"/>
    <w:rsid w:val="00BC29B6"/>
    <w:rsid w:val="00BC4BF0"/>
    <w:rsid w:val="00BC6CEF"/>
    <w:rsid w:val="00BC7EBE"/>
    <w:rsid w:val="00BD1018"/>
    <w:rsid w:val="00BD2803"/>
    <w:rsid w:val="00BD385A"/>
    <w:rsid w:val="00BD5428"/>
    <w:rsid w:val="00BD67E0"/>
    <w:rsid w:val="00BE0019"/>
    <w:rsid w:val="00BE055F"/>
    <w:rsid w:val="00BE1138"/>
    <w:rsid w:val="00BE24EF"/>
    <w:rsid w:val="00BE25CB"/>
    <w:rsid w:val="00BE4085"/>
    <w:rsid w:val="00BE4323"/>
    <w:rsid w:val="00BE4389"/>
    <w:rsid w:val="00BE4A2E"/>
    <w:rsid w:val="00BE5D51"/>
    <w:rsid w:val="00BE74B7"/>
    <w:rsid w:val="00BF0938"/>
    <w:rsid w:val="00BF32B1"/>
    <w:rsid w:val="00BF5238"/>
    <w:rsid w:val="00BF530B"/>
    <w:rsid w:val="00BF65D2"/>
    <w:rsid w:val="00BF7683"/>
    <w:rsid w:val="00C01641"/>
    <w:rsid w:val="00C024CA"/>
    <w:rsid w:val="00C034BD"/>
    <w:rsid w:val="00C04D94"/>
    <w:rsid w:val="00C05202"/>
    <w:rsid w:val="00C062FF"/>
    <w:rsid w:val="00C07FAF"/>
    <w:rsid w:val="00C119F4"/>
    <w:rsid w:val="00C122A0"/>
    <w:rsid w:val="00C134FF"/>
    <w:rsid w:val="00C137FF"/>
    <w:rsid w:val="00C15B1A"/>
    <w:rsid w:val="00C16ECD"/>
    <w:rsid w:val="00C210E2"/>
    <w:rsid w:val="00C26BEF"/>
    <w:rsid w:val="00C278D9"/>
    <w:rsid w:val="00C302D7"/>
    <w:rsid w:val="00C305DE"/>
    <w:rsid w:val="00C306BA"/>
    <w:rsid w:val="00C344F6"/>
    <w:rsid w:val="00C34FD6"/>
    <w:rsid w:val="00C40CE6"/>
    <w:rsid w:val="00C42785"/>
    <w:rsid w:val="00C42D59"/>
    <w:rsid w:val="00C46825"/>
    <w:rsid w:val="00C470EC"/>
    <w:rsid w:val="00C5038F"/>
    <w:rsid w:val="00C52E65"/>
    <w:rsid w:val="00C56DF1"/>
    <w:rsid w:val="00C639C4"/>
    <w:rsid w:val="00C6459F"/>
    <w:rsid w:val="00C655FC"/>
    <w:rsid w:val="00C65FB5"/>
    <w:rsid w:val="00C70F1E"/>
    <w:rsid w:val="00C730FC"/>
    <w:rsid w:val="00C73ADD"/>
    <w:rsid w:val="00C73F0F"/>
    <w:rsid w:val="00C74D5A"/>
    <w:rsid w:val="00C75060"/>
    <w:rsid w:val="00C81DFB"/>
    <w:rsid w:val="00C832B9"/>
    <w:rsid w:val="00C83BC8"/>
    <w:rsid w:val="00C8418C"/>
    <w:rsid w:val="00C84E6E"/>
    <w:rsid w:val="00C85B98"/>
    <w:rsid w:val="00C874CC"/>
    <w:rsid w:val="00C87C1B"/>
    <w:rsid w:val="00C922C7"/>
    <w:rsid w:val="00C928F8"/>
    <w:rsid w:val="00C93750"/>
    <w:rsid w:val="00C93CF6"/>
    <w:rsid w:val="00C94832"/>
    <w:rsid w:val="00C958B4"/>
    <w:rsid w:val="00C96F1F"/>
    <w:rsid w:val="00CA035E"/>
    <w:rsid w:val="00CA14AC"/>
    <w:rsid w:val="00CA4484"/>
    <w:rsid w:val="00CA4D8E"/>
    <w:rsid w:val="00CA5D90"/>
    <w:rsid w:val="00CA7FE4"/>
    <w:rsid w:val="00CB2E93"/>
    <w:rsid w:val="00CB40DB"/>
    <w:rsid w:val="00CB5612"/>
    <w:rsid w:val="00CB6AAC"/>
    <w:rsid w:val="00CB70EF"/>
    <w:rsid w:val="00CB713B"/>
    <w:rsid w:val="00CB7398"/>
    <w:rsid w:val="00CC1613"/>
    <w:rsid w:val="00CC4262"/>
    <w:rsid w:val="00CC426D"/>
    <w:rsid w:val="00CD0532"/>
    <w:rsid w:val="00CD2874"/>
    <w:rsid w:val="00CD2DEC"/>
    <w:rsid w:val="00CD4EC5"/>
    <w:rsid w:val="00CD6D4A"/>
    <w:rsid w:val="00CD7A41"/>
    <w:rsid w:val="00CE1F16"/>
    <w:rsid w:val="00CE28AF"/>
    <w:rsid w:val="00CE2A6C"/>
    <w:rsid w:val="00CE7427"/>
    <w:rsid w:val="00CF02E5"/>
    <w:rsid w:val="00CF0F67"/>
    <w:rsid w:val="00CF3CEC"/>
    <w:rsid w:val="00CF4F71"/>
    <w:rsid w:val="00CF5689"/>
    <w:rsid w:val="00CF5A4D"/>
    <w:rsid w:val="00D01E62"/>
    <w:rsid w:val="00D02190"/>
    <w:rsid w:val="00D029D7"/>
    <w:rsid w:val="00D02BCC"/>
    <w:rsid w:val="00D02F0B"/>
    <w:rsid w:val="00D0648B"/>
    <w:rsid w:val="00D06C97"/>
    <w:rsid w:val="00D07422"/>
    <w:rsid w:val="00D0768A"/>
    <w:rsid w:val="00D07EB0"/>
    <w:rsid w:val="00D1596E"/>
    <w:rsid w:val="00D159F2"/>
    <w:rsid w:val="00D207F8"/>
    <w:rsid w:val="00D217DD"/>
    <w:rsid w:val="00D21C55"/>
    <w:rsid w:val="00D23B6D"/>
    <w:rsid w:val="00D255E1"/>
    <w:rsid w:val="00D3113A"/>
    <w:rsid w:val="00D31588"/>
    <w:rsid w:val="00D31F71"/>
    <w:rsid w:val="00D32BEB"/>
    <w:rsid w:val="00D32E5B"/>
    <w:rsid w:val="00D34029"/>
    <w:rsid w:val="00D43496"/>
    <w:rsid w:val="00D46F30"/>
    <w:rsid w:val="00D51B5A"/>
    <w:rsid w:val="00D5363B"/>
    <w:rsid w:val="00D546BF"/>
    <w:rsid w:val="00D55256"/>
    <w:rsid w:val="00D57289"/>
    <w:rsid w:val="00D60316"/>
    <w:rsid w:val="00D62A3B"/>
    <w:rsid w:val="00D655AC"/>
    <w:rsid w:val="00D65885"/>
    <w:rsid w:val="00D67EA8"/>
    <w:rsid w:val="00D70774"/>
    <w:rsid w:val="00D70ED3"/>
    <w:rsid w:val="00D72E55"/>
    <w:rsid w:val="00D74278"/>
    <w:rsid w:val="00D75366"/>
    <w:rsid w:val="00D76FE6"/>
    <w:rsid w:val="00D77184"/>
    <w:rsid w:val="00D80CD7"/>
    <w:rsid w:val="00D83075"/>
    <w:rsid w:val="00D83AEE"/>
    <w:rsid w:val="00D844B1"/>
    <w:rsid w:val="00D860FB"/>
    <w:rsid w:val="00D8657D"/>
    <w:rsid w:val="00D867C6"/>
    <w:rsid w:val="00D871CB"/>
    <w:rsid w:val="00D92EED"/>
    <w:rsid w:val="00D92EFF"/>
    <w:rsid w:val="00D97E71"/>
    <w:rsid w:val="00DA0AB5"/>
    <w:rsid w:val="00DA26BC"/>
    <w:rsid w:val="00DA39AC"/>
    <w:rsid w:val="00DA5F6D"/>
    <w:rsid w:val="00DA7BFD"/>
    <w:rsid w:val="00DB00D8"/>
    <w:rsid w:val="00DB0D28"/>
    <w:rsid w:val="00DB2C85"/>
    <w:rsid w:val="00DB36AD"/>
    <w:rsid w:val="00DB4FD9"/>
    <w:rsid w:val="00DB571F"/>
    <w:rsid w:val="00DB6F88"/>
    <w:rsid w:val="00DB778E"/>
    <w:rsid w:val="00DC1960"/>
    <w:rsid w:val="00DC22A3"/>
    <w:rsid w:val="00DC3D40"/>
    <w:rsid w:val="00DC3F25"/>
    <w:rsid w:val="00DC4A60"/>
    <w:rsid w:val="00DC7157"/>
    <w:rsid w:val="00DC7D8B"/>
    <w:rsid w:val="00DD1EA9"/>
    <w:rsid w:val="00DD2CBB"/>
    <w:rsid w:val="00DD44F8"/>
    <w:rsid w:val="00DD6693"/>
    <w:rsid w:val="00DE1833"/>
    <w:rsid w:val="00DE1E3E"/>
    <w:rsid w:val="00DE2353"/>
    <w:rsid w:val="00DE2B6D"/>
    <w:rsid w:val="00DE31E3"/>
    <w:rsid w:val="00DE5903"/>
    <w:rsid w:val="00DE5A4E"/>
    <w:rsid w:val="00DE60A8"/>
    <w:rsid w:val="00DE623B"/>
    <w:rsid w:val="00DF02CE"/>
    <w:rsid w:val="00DF062D"/>
    <w:rsid w:val="00DF3C2E"/>
    <w:rsid w:val="00DF5CA4"/>
    <w:rsid w:val="00E026CC"/>
    <w:rsid w:val="00E026EB"/>
    <w:rsid w:val="00E10381"/>
    <w:rsid w:val="00E10EA1"/>
    <w:rsid w:val="00E12073"/>
    <w:rsid w:val="00E1308E"/>
    <w:rsid w:val="00E13302"/>
    <w:rsid w:val="00E13D6C"/>
    <w:rsid w:val="00E14143"/>
    <w:rsid w:val="00E15365"/>
    <w:rsid w:val="00E164C4"/>
    <w:rsid w:val="00E21D07"/>
    <w:rsid w:val="00E22C10"/>
    <w:rsid w:val="00E23AA3"/>
    <w:rsid w:val="00E2458C"/>
    <w:rsid w:val="00E24FA3"/>
    <w:rsid w:val="00E258C3"/>
    <w:rsid w:val="00E265B7"/>
    <w:rsid w:val="00E26692"/>
    <w:rsid w:val="00E27C68"/>
    <w:rsid w:val="00E32396"/>
    <w:rsid w:val="00E34A54"/>
    <w:rsid w:val="00E34CF8"/>
    <w:rsid w:val="00E36478"/>
    <w:rsid w:val="00E36D54"/>
    <w:rsid w:val="00E4070A"/>
    <w:rsid w:val="00E40CB3"/>
    <w:rsid w:val="00E439F3"/>
    <w:rsid w:val="00E442D7"/>
    <w:rsid w:val="00E457F6"/>
    <w:rsid w:val="00E4780B"/>
    <w:rsid w:val="00E47EAE"/>
    <w:rsid w:val="00E5114B"/>
    <w:rsid w:val="00E52C73"/>
    <w:rsid w:val="00E5323D"/>
    <w:rsid w:val="00E60935"/>
    <w:rsid w:val="00E6443C"/>
    <w:rsid w:val="00E6598F"/>
    <w:rsid w:val="00E66CF1"/>
    <w:rsid w:val="00E67422"/>
    <w:rsid w:val="00E723B4"/>
    <w:rsid w:val="00E74486"/>
    <w:rsid w:val="00E765DC"/>
    <w:rsid w:val="00E82EED"/>
    <w:rsid w:val="00E84EF2"/>
    <w:rsid w:val="00E8770A"/>
    <w:rsid w:val="00E91700"/>
    <w:rsid w:val="00E922EE"/>
    <w:rsid w:val="00E944EE"/>
    <w:rsid w:val="00E95B48"/>
    <w:rsid w:val="00EA0C2A"/>
    <w:rsid w:val="00EA13DF"/>
    <w:rsid w:val="00EA20DE"/>
    <w:rsid w:val="00EA50E4"/>
    <w:rsid w:val="00EA53CC"/>
    <w:rsid w:val="00EA6DCF"/>
    <w:rsid w:val="00EA6F8D"/>
    <w:rsid w:val="00EA7105"/>
    <w:rsid w:val="00EA7213"/>
    <w:rsid w:val="00EB1D27"/>
    <w:rsid w:val="00EB2DAF"/>
    <w:rsid w:val="00EB4834"/>
    <w:rsid w:val="00EB5ED3"/>
    <w:rsid w:val="00EB5FEC"/>
    <w:rsid w:val="00EC34D6"/>
    <w:rsid w:val="00EC3737"/>
    <w:rsid w:val="00EC63EA"/>
    <w:rsid w:val="00EC77DB"/>
    <w:rsid w:val="00ED1473"/>
    <w:rsid w:val="00ED7685"/>
    <w:rsid w:val="00EE25A8"/>
    <w:rsid w:val="00EE4422"/>
    <w:rsid w:val="00EE4A76"/>
    <w:rsid w:val="00EE6259"/>
    <w:rsid w:val="00EF1657"/>
    <w:rsid w:val="00EF2F56"/>
    <w:rsid w:val="00EF3749"/>
    <w:rsid w:val="00EF376B"/>
    <w:rsid w:val="00EF4B26"/>
    <w:rsid w:val="00EF6113"/>
    <w:rsid w:val="00EF7189"/>
    <w:rsid w:val="00F02996"/>
    <w:rsid w:val="00F037BC"/>
    <w:rsid w:val="00F0464A"/>
    <w:rsid w:val="00F04BB9"/>
    <w:rsid w:val="00F05B7A"/>
    <w:rsid w:val="00F05FD8"/>
    <w:rsid w:val="00F07582"/>
    <w:rsid w:val="00F119FA"/>
    <w:rsid w:val="00F1231E"/>
    <w:rsid w:val="00F14013"/>
    <w:rsid w:val="00F1414C"/>
    <w:rsid w:val="00F144B8"/>
    <w:rsid w:val="00F15BD7"/>
    <w:rsid w:val="00F16B47"/>
    <w:rsid w:val="00F21F8E"/>
    <w:rsid w:val="00F2245E"/>
    <w:rsid w:val="00F22973"/>
    <w:rsid w:val="00F2495A"/>
    <w:rsid w:val="00F24A3A"/>
    <w:rsid w:val="00F24AEF"/>
    <w:rsid w:val="00F305B8"/>
    <w:rsid w:val="00F31A69"/>
    <w:rsid w:val="00F3354A"/>
    <w:rsid w:val="00F34279"/>
    <w:rsid w:val="00F37782"/>
    <w:rsid w:val="00F41C03"/>
    <w:rsid w:val="00F45FA5"/>
    <w:rsid w:val="00F502C8"/>
    <w:rsid w:val="00F5276F"/>
    <w:rsid w:val="00F52F83"/>
    <w:rsid w:val="00F537A6"/>
    <w:rsid w:val="00F53BB2"/>
    <w:rsid w:val="00F56B56"/>
    <w:rsid w:val="00F61E37"/>
    <w:rsid w:val="00F626DE"/>
    <w:rsid w:val="00F63C9A"/>
    <w:rsid w:val="00F64104"/>
    <w:rsid w:val="00F64315"/>
    <w:rsid w:val="00F66762"/>
    <w:rsid w:val="00F678C0"/>
    <w:rsid w:val="00F70D6F"/>
    <w:rsid w:val="00F749D6"/>
    <w:rsid w:val="00F75292"/>
    <w:rsid w:val="00F774FC"/>
    <w:rsid w:val="00F77C8B"/>
    <w:rsid w:val="00F80749"/>
    <w:rsid w:val="00F80D19"/>
    <w:rsid w:val="00F86F26"/>
    <w:rsid w:val="00F90579"/>
    <w:rsid w:val="00F928DA"/>
    <w:rsid w:val="00F93470"/>
    <w:rsid w:val="00F949FA"/>
    <w:rsid w:val="00F96665"/>
    <w:rsid w:val="00FA2BB9"/>
    <w:rsid w:val="00FA3251"/>
    <w:rsid w:val="00FA35E9"/>
    <w:rsid w:val="00FA3E8F"/>
    <w:rsid w:val="00FA407B"/>
    <w:rsid w:val="00FA6CFF"/>
    <w:rsid w:val="00FA769E"/>
    <w:rsid w:val="00FA7E4C"/>
    <w:rsid w:val="00FB11AD"/>
    <w:rsid w:val="00FB267E"/>
    <w:rsid w:val="00FB2A99"/>
    <w:rsid w:val="00FB60E2"/>
    <w:rsid w:val="00FB6757"/>
    <w:rsid w:val="00FB7273"/>
    <w:rsid w:val="00FB7C4B"/>
    <w:rsid w:val="00FC027B"/>
    <w:rsid w:val="00FC02ED"/>
    <w:rsid w:val="00FC0C35"/>
    <w:rsid w:val="00FC15DF"/>
    <w:rsid w:val="00FC1EED"/>
    <w:rsid w:val="00FC4215"/>
    <w:rsid w:val="00FC44FD"/>
    <w:rsid w:val="00FC617B"/>
    <w:rsid w:val="00FC7B3C"/>
    <w:rsid w:val="00FD14EC"/>
    <w:rsid w:val="00FD43D6"/>
    <w:rsid w:val="00FD5F28"/>
    <w:rsid w:val="00FE0E52"/>
    <w:rsid w:val="00FE28C6"/>
    <w:rsid w:val="00FE2F48"/>
    <w:rsid w:val="00FE5148"/>
    <w:rsid w:val="00FE7B85"/>
    <w:rsid w:val="00FF32B9"/>
    <w:rsid w:val="00FF32C1"/>
    <w:rsid w:val="00FF33C6"/>
    <w:rsid w:val="00FF786B"/>
    <w:rsid w:val="0338C880"/>
    <w:rsid w:val="05AA8798"/>
    <w:rsid w:val="06B42910"/>
    <w:rsid w:val="084448F1"/>
    <w:rsid w:val="08C5153C"/>
    <w:rsid w:val="0AC3DE61"/>
    <w:rsid w:val="0C8ACBCA"/>
    <w:rsid w:val="0CC7C0E6"/>
    <w:rsid w:val="0DBAE5AA"/>
    <w:rsid w:val="0DF11C0A"/>
    <w:rsid w:val="0EB58212"/>
    <w:rsid w:val="0F221BC2"/>
    <w:rsid w:val="0F94EFE7"/>
    <w:rsid w:val="100356D4"/>
    <w:rsid w:val="10E79F0E"/>
    <w:rsid w:val="1192BBDA"/>
    <w:rsid w:val="11A4272D"/>
    <w:rsid w:val="15EEC136"/>
    <w:rsid w:val="16062047"/>
    <w:rsid w:val="1680A435"/>
    <w:rsid w:val="168CADAD"/>
    <w:rsid w:val="1A89B041"/>
    <w:rsid w:val="1AAD5F16"/>
    <w:rsid w:val="1C1CCF2E"/>
    <w:rsid w:val="1C438A47"/>
    <w:rsid w:val="1C480E75"/>
    <w:rsid w:val="1EFF69C1"/>
    <w:rsid w:val="20313B36"/>
    <w:rsid w:val="21DBF11F"/>
    <w:rsid w:val="22388685"/>
    <w:rsid w:val="23447228"/>
    <w:rsid w:val="24C09090"/>
    <w:rsid w:val="263A7755"/>
    <w:rsid w:val="26D9F006"/>
    <w:rsid w:val="27E7BBFB"/>
    <w:rsid w:val="27FBC407"/>
    <w:rsid w:val="292382DC"/>
    <w:rsid w:val="2A28A6DF"/>
    <w:rsid w:val="2A9A3334"/>
    <w:rsid w:val="2AFE6177"/>
    <w:rsid w:val="2C187B9F"/>
    <w:rsid w:val="2CC085EB"/>
    <w:rsid w:val="3002CC17"/>
    <w:rsid w:val="30413EE7"/>
    <w:rsid w:val="314C960B"/>
    <w:rsid w:val="37B761F0"/>
    <w:rsid w:val="39DA4992"/>
    <w:rsid w:val="3AAD3132"/>
    <w:rsid w:val="3D0086EF"/>
    <w:rsid w:val="3E6FE678"/>
    <w:rsid w:val="409E8C4C"/>
    <w:rsid w:val="42001D44"/>
    <w:rsid w:val="44506687"/>
    <w:rsid w:val="477CB19E"/>
    <w:rsid w:val="47E39C49"/>
    <w:rsid w:val="48FEED83"/>
    <w:rsid w:val="49B1494D"/>
    <w:rsid w:val="4A6EDFCF"/>
    <w:rsid w:val="4AA9D008"/>
    <w:rsid w:val="4C107245"/>
    <w:rsid w:val="4CD530FD"/>
    <w:rsid w:val="4D208C05"/>
    <w:rsid w:val="4E89D06F"/>
    <w:rsid w:val="4F8F17B7"/>
    <w:rsid w:val="506BBEA3"/>
    <w:rsid w:val="51A04A9E"/>
    <w:rsid w:val="532EA974"/>
    <w:rsid w:val="546D9AAC"/>
    <w:rsid w:val="55DFD324"/>
    <w:rsid w:val="56036353"/>
    <w:rsid w:val="57C3296D"/>
    <w:rsid w:val="5801B15B"/>
    <w:rsid w:val="592B66F2"/>
    <w:rsid w:val="5934E6B9"/>
    <w:rsid w:val="5B914C78"/>
    <w:rsid w:val="5E8752EE"/>
    <w:rsid w:val="5F0F3B08"/>
    <w:rsid w:val="5FF3F0F3"/>
    <w:rsid w:val="60290E85"/>
    <w:rsid w:val="619B3460"/>
    <w:rsid w:val="6271D530"/>
    <w:rsid w:val="64E8F319"/>
    <w:rsid w:val="6543B2D1"/>
    <w:rsid w:val="659A9313"/>
    <w:rsid w:val="65D01B3C"/>
    <w:rsid w:val="6720FE8A"/>
    <w:rsid w:val="6B569C29"/>
    <w:rsid w:val="70392D09"/>
    <w:rsid w:val="7252EE12"/>
    <w:rsid w:val="72781C96"/>
    <w:rsid w:val="73A08C66"/>
    <w:rsid w:val="74BB5321"/>
    <w:rsid w:val="74F67AA2"/>
    <w:rsid w:val="7690ABF2"/>
    <w:rsid w:val="7755FEBD"/>
    <w:rsid w:val="7960224B"/>
    <w:rsid w:val="7A6B5C96"/>
    <w:rsid w:val="7BA84890"/>
    <w:rsid w:val="7C577DB6"/>
    <w:rsid w:val="7C6BD1AE"/>
    <w:rsid w:val="7C7E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5BB"/>
  <w15:chartTrackingRefBased/>
  <w15:docId w15:val="{6A354682-5CB8-4720-BA42-FEF4158A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032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B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B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B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B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B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0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B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3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D6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A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2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5E7"/>
  </w:style>
  <w:style w:type="paragraph" w:styleId="Footer">
    <w:name w:val="footer"/>
    <w:basedOn w:val="Normal"/>
    <w:link w:val="FooterChar"/>
    <w:uiPriority w:val="99"/>
    <w:unhideWhenUsed/>
    <w:rsid w:val="001E2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ications@agro.au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Ucollab.FSE@au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rhusuniversitet.sharepoint.com/sites/Nat-TechkonomiApplication/Shared%20Documents/Forms/AllItems.aspx?startedResponseCatch=tru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ead.agro@au.d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unding@agro.a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334AEBDD85864481243BC82ECACCE3" ma:contentTypeVersion="9" ma:contentTypeDescription="Opret et nyt dokument." ma:contentTypeScope="" ma:versionID="1773cb26db0156576015183804a2759e">
  <xsd:schema xmlns:xsd="http://www.w3.org/2001/XMLSchema" xmlns:xs="http://www.w3.org/2001/XMLSchema" xmlns:p="http://schemas.microsoft.com/office/2006/metadata/properties" xmlns:ns2="5470a04d-1e06-4f9d-8cb5-42ecd873296c" targetNamespace="http://schemas.microsoft.com/office/2006/metadata/properties" ma:root="true" ma:fieldsID="f0babcfe03f08b239443989c56139454" ns2:_="">
    <xsd:import namespace="5470a04d-1e06-4f9d-8cb5-42ecd873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a04d-1e06-4f9d-8cb5-42ecd873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B8A8-A24D-417B-A38C-C010BE828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a04d-1e06-4f9d-8cb5-42ecd873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EB5D7-D257-439D-8C53-C0BD1D8C0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15D12-7F7C-4267-90C4-35DE81CB9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7D445-32C6-4F47-A8DC-92955FF105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Links>
    <vt:vector size="24" baseType="variant">
      <vt:variant>
        <vt:i4>6881289</vt:i4>
      </vt:variant>
      <vt:variant>
        <vt:i4>12</vt:i4>
      </vt:variant>
      <vt:variant>
        <vt:i4>0</vt:i4>
      </vt:variant>
      <vt:variant>
        <vt:i4>5</vt:i4>
      </vt:variant>
      <vt:variant>
        <vt:lpwstr>mailto:head.agro@au.dk</vt:lpwstr>
      </vt:variant>
      <vt:variant>
        <vt:lpwstr/>
      </vt:variant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mailto:funding@agro.au.dk</vt:lpwstr>
      </vt:variant>
      <vt:variant>
        <vt:lpwstr/>
      </vt:variant>
      <vt:variant>
        <vt:i4>1048689</vt:i4>
      </vt:variant>
      <vt:variant>
        <vt:i4>6</vt:i4>
      </vt:variant>
      <vt:variant>
        <vt:i4>0</vt:i4>
      </vt:variant>
      <vt:variant>
        <vt:i4>5</vt:i4>
      </vt:variant>
      <vt:variant>
        <vt:lpwstr>mailto:applications@agro.au.dk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https://aarhusuniversitet.sharepoint.com/sites/Nat-TechkonomiApplication/Shared Documents/Forms/AllItems.aspx?startedResponseCatch=true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Krog Ingerslev</dc:creator>
  <cp:keywords/>
  <dc:description/>
  <cp:lastModifiedBy>Ida Thoft Jensen</cp:lastModifiedBy>
  <cp:revision>3</cp:revision>
  <cp:lastPrinted>2026-03-12T00:30:00Z</cp:lastPrinted>
  <dcterms:created xsi:type="dcterms:W3CDTF">2026-04-15T11:26:00Z</dcterms:created>
  <dcterms:modified xsi:type="dcterms:W3CDTF">2026-04-15T11:27:00Z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0x0101008C334AEBDD85864481243BC82ECACCE3</vt:lpwstr>
  </property>
</Properties>
</file>